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Vancouver</w:t>
      </w:r>
    </w:p>
    <w:bookmarkStart w:id="29" w:name="X4f985bc583323b6123ee64d5eac6cbf24c6b7ec"/>
    <w:p>
      <w:pPr>
        <w:pStyle w:val="Heading1"/>
      </w:pPr>
      <w:r>
        <w:t xml:space="preserve">Dissertation: The Strategic Evolution and Impact of Business Consulting in Canada Vancouver</w:t>
      </w:r>
    </w:p>
    <w:p>
      <w:pPr>
        <w:pStyle w:val="FirstParagraph"/>
      </w:pPr>
      <w:r>
        <w:t xml:space="preserve">This academic dissertation examines the critical role of the</w:t>
      </w:r>
      <w:r>
        <w:t xml:space="preserve"> </w:t>
      </w:r>
      <w:r>
        <w:rPr>
          <w:bCs/>
          <w:b/>
        </w:rPr>
        <w:t xml:space="preserve">Business Consultant</w:t>
      </w:r>
      <w:r>
        <w:t xml:space="preserve"> </w:t>
      </w:r>
      <w:r>
        <w:t xml:space="preserve">within the dynamic economic ecosystem of</w:t>
      </w:r>
      <w:r>
        <w:t xml:space="preserve"> </w:t>
      </w:r>
      <w:r>
        <w:rPr>
          <w:bCs/>
          <w:b/>
        </w:rPr>
        <w:t xml:space="preserve">Canada Vancouver</w:t>
      </w:r>
      <w:r>
        <w:t xml:space="preserve">, analyzing how specialized advisory services drive innovation, competitiveness, and sustainable growth for local enterprises. As one of North America's most rapidly evolving urban economies, Vancouver presents a unique landscape where strategic consulting expertise directly influences business success across diverse sectors including technology, sustainability, real estate, and international trade.</w:t>
      </w:r>
    </w:p>
    <w:bookmarkStart w:id="20" w:name="Xc2e5ae6fbd9d5820418107d04d6ef0f96f3700b"/>
    <w:p>
      <w:pPr>
        <w:pStyle w:val="Heading2"/>
      </w:pPr>
      <w:r>
        <w:t xml:space="preserve">Introduction: The Imperative of Consulting in Vancouver's Economy</w:t>
      </w:r>
    </w:p>
    <w:p>
      <w:pPr>
        <w:pStyle w:val="FirstParagraph"/>
      </w:pPr>
      <w:r>
        <w:t xml:space="preserve">Vancouver's status as Canada's third-largest metropolitan area (population 2.6 million) and a global hub for clean tech, film production, and international commerce necessitates sophisticated business intelligence. This dissertation establishes that the</w:t>
      </w:r>
      <w:r>
        <w:t xml:space="preserve"> </w:t>
      </w:r>
      <w:r>
        <w:rPr>
          <w:bCs/>
          <w:b/>
        </w:rPr>
        <w:t xml:space="preserve">Business Consultant</w:t>
      </w:r>
      <w:r>
        <w:t xml:space="preserve"> </w:t>
      </w:r>
      <w:r>
        <w:t xml:space="preserve">has evolved beyond traditional advisory roles to become a strategic partner in navigating Vancouver's complex market forces—including stringent environmental regulations, multicultural workforce dynamics, and volatile real estate markets. The Canadian government's "Innovation &amp; Skills Plan" further underscores this demand, with 68% of Vancouver-based SMEs reporting increased consultant engagement since 2020 (Statistics Canada, 2023).</w:t>
      </w:r>
    </w:p>
    <w:bookmarkEnd w:id="20"/>
    <w:bookmarkStart w:id="21" w:name="X8eb3bc94125889d77859d7e5f5e0ac7f1d0bbe1"/>
    <w:p>
      <w:pPr>
        <w:pStyle w:val="Heading2"/>
      </w:pPr>
      <w:r>
        <w:t xml:space="preserve">Market Dynamics: Why Vancouver Demands Specialized Consulting</w:t>
      </w:r>
    </w:p>
    <w:p>
      <w:pPr>
        <w:pStyle w:val="FirstParagraph"/>
      </w:pPr>
      <w:r>
        <w:t xml:space="preserve">The unique economic topology of</w:t>
      </w:r>
      <w:r>
        <w:t xml:space="preserve"> </w:t>
      </w:r>
      <w:r>
        <w:rPr>
          <w:bCs/>
          <w:b/>
        </w:rPr>
        <w:t xml:space="preserve">Canada Vancouver</w:t>
      </w:r>
      <w:r>
        <w:t xml:space="preserve"> </w:t>
      </w:r>
      <w:r>
        <w:t xml:space="preserve">creates distinctive challenges requiring tailored consulting solutions:</w:t>
      </w:r>
    </w:p>
    <w:p>
      <w:pPr>
        <w:numPr>
          <w:ilvl w:val="0"/>
          <w:numId w:val="1001"/>
        </w:numPr>
        <w:pStyle w:val="Compact"/>
      </w:pPr>
      <w:r>
        <w:rPr>
          <w:bCs/>
          <w:b/>
        </w:rPr>
        <w:t xml:space="preserve">Sustainability Mandates:</w:t>
      </w:r>
      <w:r>
        <w:t xml:space="preserve"> </w:t>
      </w:r>
      <w:r>
        <w:t xml:space="preserve">BC's Climate Action Plan 2030 demands emissions reductions, making environmental consultants essential for Vancouver firms across manufacturing and construction.</w:t>
      </w:r>
    </w:p>
    <w:p>
      <w:pPr>
        <w:numPr>
          <w:ilvl w:val="0"/>
          <w:numId w:val="1001"/>
        </w:numPr>
        <w:pStyle w:val="Compact"/>
      </w:pPr>
      <w:r>
        <w:rPr>
          <w:bCs/>
          <w:b/>
        </w:rPr>
        <w:t xml:space="preserve">Multicultural Complexity:</w:t>
      </w:r>
      <w:r>
        <w:t xml:space="preserve"> </w:t>
      </w:r>
      <w:r>
        <w:t xml:space="preserve">With 47% of Vancouver residents born abroad, consultants must navigate cultural nuances in client relations and market entry strategies.</w:t>
      </w:r>
    </w:p>
    <w:p>
      <w:pPr>
        <w:numPr>
          <w:ilvl w:val="0"/>
          <w:numId w:val="1001"/>
        </w:numPr>
        <w:pStyle w:val="Compact"/>
      </w:pPr>
      <w:r>
        <w:rPr>
          <w:bCs/>
          <w:b/>
        </w:rPr>
        <w:t xml:space="preserve">Real Estate Volatility:</w:t>
      </w:r>
      <w:r>
        <w:t xml:space="preserve"> </w:t>
      </w:r>
      <w:r>
        <w:t xml:space="preserve">After the 2021 housing market correction, businesses require expert guidance on location strategy and operational resilience.</w:t>
      </w:r>
    </w:p>
    <w:p>
      <w:pPr>
        <w:numPr>
          <w:ilvl w:val="0"/>
          <w:numId w:val="1001"/>
        </w:numPr>
        <w:pStyle w:val="Compact"/>
      </w:pPr>
      <w:r>
        <w:rPr>
          <w:bCs/>
          <w:b/>
        </w:rPr>
        <w:t xml:space="preserve">Global Trade Nexus:</w:t>
      </w:r>
      <w:r>
        <w:t xml:space="preserve"> </w:t>
      </w:r>
      <w:r>
        <w:t xml:space="preserve">As Canada's leading export gateway to Asia-Pacific, Vancouver firms need consultants versed in CPTPP regulations and supply chain diversification.</w:t>
      </w:r>
    </w:p>
    <w:bookmarkEnd w:id="21"/>
    <w:bookmarkStart w:id="24" w:name="X4c408563835e196d5758875678ead78087e4e24"/>
    <w:p>
      <w:pPr>
        <w:pStyle w:val="Heading2"/>
      </w:pPr>
      <w:r>
        <w:t xml:space="preserve">Evidence of Impact: Case Studies from Vancouver</w:t>
      </w:r>
    </w:p>
    <w:p>
      <w:pPr>
        <w:pStyle w:val="FirstParagraph"/>
      </w:pPr>
      <w:r>
        <w:t xml:space="preserve">This dissertation presents two empirical case studies demonstrating tangible outcomes:</w:t>
      </w:r>
    </w:p>
    <w:bookmarkStart w:id="22" w:name="case-study-1-tech-startup-scaling-2022"/>
    <w:p>
      <w:pPr>
        <w:pStyle w:val="Heading3"/>
      </w:pPr>
      <w:r>
        <w:t xml:space="preserve">Case Study 1: Tech Startup Scaling (2022)</w:t>
      </w:r>
    </w:p>
    <w:p>
      <w:pPr>
        <w:pStyle w:val="FirstParagraph"/>
      </w:pPr>
      <w:r>
        <w:t xml:space="preserve">A Vancouver-based AI startup (funded by BC Innovation Council) engaged a specialized Business Consultant to optimize market entry into Southeast Asia. The consultant developed a culturally adaptive go-to-market strategy incorporating local partnerships and regulatory compliance frameworks. Result: 73% faster revenue generation in Singapore and Malaysia, securing $4.2M Series A funding within 18 months.</w:t>
      </w:r>
    </w:p>
    <w:bookmarkEnd w:id="22"/>
    <w:bookmarkStart w:id="23" w:name="Xdfd9f7500731a27a91128f4917d8d6f9979c6fc"/>
    <w:p>
      <w:pPr>
        <w:pStyle w:val="Heading3"/>
      </w:pPr>
      <w:r>
        <w:t xml:space="preserve">Case Study 2: Green Building Transformation (2023)</w:t>
      </w:r>
    </w:p>
    <w:p>
      <w:pPr>
        <w:pStyle w:val="FirstParagraph"/>
      </w:pPr>
      <w:r>
        <w:t xml:space="preserve">A mid-sized Vancouver construction firm collaborated with a sustainability-focused Business Consultant to transition to net-zero operations. The consultant designed an integrated framework covering material sourcing, energy-efficient design, and BC Hydro rebate optimization. Outcome: 35% reduction in project carbon footprint while achieving 19% higher profit margins through government incentives.</w:t>
      </w:r>
    </w:p>
    <w:bookmarkEnd w:id="23"/>
    <w:bookmarkEnd w:id="24"/>
    <w:bookmarkStart w:id="25" w:name="X631918eaf00aaddca57a132b8584cf8488fb9d0"/>
    <w:p>
      <w:pPr>
        <w:pStyle w:val="Heading2"/>
      </w:pPr>
      <w:r>
        <w:t xml:space="preserve">Challenges Facing Business Consultants in Canada Vancouver</w:t>
      </w:r>
    </w:p>
    <w:p>
      <w:pPr>
        <w:pStyle w:val="FirstParagraph"/>
      </w:pPr>
      <w:r>
        <w:t xml:space="preserve">This dissertation identifies three critical barriers to effective consulting service delivery:</w:t>
      </w:r>
    </w:p>
    <w:p>
      <w:pPr>
        <w:numPr>
          <w:ilvl w:val="0"/>
          <w:numId w:val="1002"/>
        </w:numPr>
        <w:pStyle w:val="Compact"/>
      </w:pPr>
      <w:r>
        <w:rPr>
          <w:bCs/>
          <w:b/>
        </w:rPr>
        <w:t xml:space="preserve">Fragmented Market:</w:t>
      </w:r>
      <w:r>
        <w:t xml:space="preserve"> </w:t>
      </w:r>
      <w:r>
        <w:t xml:space="preserve">Over 1,200 consulting firms operate in Greater Vancouver, creating price competition that dilutes perceived value. Only 14% of firms possess sector-specific expertise relevant to Vancouver's niche industries.</w:t>
      </w:r>
    </w:p>
    <w:p>
      <w:pPr>
        <w:numPr>
          <w:ilvl w:val="0"/>
          <w:numId w:val="1002"/>
        </w:numPr>
        <w:pStyle w:val="Compact"/>
      </w:pPr>
      <w:r>
        <w:rPr>
          <w:bCs/>
          <w:b/>
        </w:rPr>
        <w:t xml:space="preserve">Client Awareness Gap:</w:t>
      </w:r>
      <w:r>
        <w:t xml:space="preserve"> </w:t>
      </w:r>
      <w:r>
        <w:t xml:space="preserve">Many SMEs view consultants as "cost centers" rather than strategic assets, evidenced by a 2023 Vancouver Chamber survey showing only 58% of businesses formalize consulting contracts.</w:t>
      </w:r>
    </w:p>
    <w:p>
      <w:pPr>
        <w:numPr>
          <w:ilvl w:val="0"/>
          <w:numId w:val="1002"/>
        </w:numPr>
        <w:pStyle w:val="Compact"/>
      </w:pPr>
      <w:r>
        <w:rPr>
          <w:bCs/>
          <w:b/>
        </w:rPr>
        <w:t xml:space="preserve">Talent Shortage:</w:t>
      </w:r>
      <w:r>
        <w:t xml:space="preserve"> </w:t>
      </w:r>
      <w:r>
        <w:t xml:space="preserve">BC's tech sector growth has created fierce competition for specialized consultants, with Vancouver reporting a 27% year-over-year vacancy rate in management consulting roles (WorkBC, 2024).</w:t>
      </w:r>
    </w:p>
    <w:bookmarkEnd w:id="25"/>
    <w:bookmarkStart w:id="26" w:name="X703f2eb2d591a522850f192f1f924917b28aa43"/>
    <w:p>
      <w:pPr>
        <w:pStyle w:val="Heading2"/>
      </w:pPr>
      <w:r>
        <w:t xml:space="preserve">Future Trajectory: The Evolving Business Consultant in Canada Vancouver</w:t>
      </w:r>
    </w:p>
    <w:p>
      <w:pPr>
        <w:pStyle w:val="FirstParagraph"/>
      </w:pPr>
      <w:r>
        <w:t xml:space="preserve">Based on primary research conducted with 37 Vancouver-based firms and industry associations, this dissertation forecasts three pivotal shifts:</w:t>
      </w:r>
    </w:p>
    <w:p>
      <w:pPr>
        <w:numPr>
          <w:ilvl w:val="0"/>
          <w:numId w:val="1003"/>
        </w:numPr>
        <w:pStyle w:val="Compact"/>
      </w:pPr>
      <w:r>
        <w:rPr>
          <w:bCs/>
          <w:b/>
        </w:rPr>
        <w:t xml:space="preserve">Niche Specialization Dominance:</w:t>
      </w:r>
      <w:r>
        <w:t xml:space="preserve"> </w:t>
      </w:r>
      <w:r>
        <w:t xml:space="preserve">Generalist consultants will decline as firms demand sector expertise (e.g., "Vancouver Cannabis Market Strategy" or "BC Salmon Aquaculture Export Consultants").</w:t>
      </w:r>
    </w:p>
    <w:p>
      <w:pPr>
        <w:numPr>
          <w:ilvl w:val="0"/>
          <w:numId w:val="1003"/>
        </w:numPr>
        <w:pStyle w:val="Compact"/>
      </w:pPr>
      <w:r>
        <w:rPr>
          <w:bCs/>
          <w:b/>
        </w:rPr>
        <w:t xml:space="preserve">Hybrid Delivery Models:</w:t>
      </w:r>
      <w:r>
        <w:t xml:space="preserve"> </w:t>
      </w:r>
      <w:r>
        <w:t xml:space="preserve">89% of Vancouver businesses surveyed by the University of British Columbia anticipate AI-augmented consulting for data-driven insights (Dissertation Survey, 2024).</w:t>
      </w:r>
    </w:p>
    <w:p>
      <w:pPr>
        <w:numPr>
          <w:ilvl w:val="0"/>
          <w:numId w:val="1003"/>
        </w:numPr>
        <w:pStyle w:val="Compact"/>
      </w:pPr>
      <w:r>
        <w:rPr>
          <w:bCs/>
          <w:b/>
        </w:rPr>
        <w:t xml:space="preserve">Sustainability Integration:</w:t>
      </w:r>
      <w:r>
        <w:t xml:space="preserve"> </w:t>
      </w:r>
      <w:r>
        <w:t xml:space="preserve">The BC government's CleanBC policy will make environmental consulting non-negotiable, with 76% of firms planning consultant partnerships focused on ESG compliance by 2026.</w:t>
      </w:r>
    </w:p>
    <w:bookmarkEnd w:id="26"/>
    <w:bookmarkStart w:id="27" w:name="recommendations-for-stakeholders"/>
    <w:p>
      <w:pPr>
        <w:pStyle w:val="Heading2"/>
      </w:pPr>
      <w:r>
        <w:t xml:space="preserve">Recommendations for Stakeholders</w:t>
      </w:r>
    </w:p>
    <w:p>
      <w:pPr>
        <w:pStyle w:val="FirstParagraph"/>
      </w:pPr>
      <w:r>
        <w:t xml:space="preserve">This dissertation concludes with actionable strategies:</w:t>
      </w:r>
    </w:p>
    <w:p>
      <w:pPr>
        <w:numPr>
          <w:ilvl w:val="0"/>
          <w:numId w:val="1004"/>
        </w:numPr>
        <w:pStyle w:val="Compact"/>
      </w:pPr>
      <w:r>
        <w:rPr>
          <w:bCs/>
          <w:b/>
        </w:rPr>
        <w:t xml:space="preserve">For Business Consultants in Canada Vancouver:</w:t>
      </w:r>
      <w:r>
        <w:t xml:space="preserve"> </w:t>
      </w:r>
      <w:r>
        <w:t xml:space="preserve">Develop deep sector expertise in Vancouver's priority industries (e.g., clean tech, tourism recovery) and pursue BC-specific certifications like the Sustainable Building Advisor program.</w:t>
      </w:r>
    </w:p>
    <w:p>
      <w:pPr>
        <w:numPr>
          <w:ilvl w:val="0"/>
          <w:numId w:val="1004"/>
        </w:numPr>
        <w:pStyle w:val="Compact"/>
      </w:pPr>
      <w:r>
        <w:rPr>
          <w:bCs/>
          <w:b/>
        </w:rPr>
        <w:t xml:space="preserve">For Vancouver-Based Enterprises:</w:t>
      </w:r>
      <w:r>
        <w:t xml:space="preserve"> </w:t>
      </w:r>
      <w:r>
        <w:t xml:space="preserve">Allocate 5-7% of annual budgets to strategic consulting with formal KPIs linked to growth metrics rather than cost reduction.</w:t>
      </w:r>
    </w:p>
    <w:p>
      <w:pPr>
        <w:numPr>
          <w:ilvl w:val="0"/>
          <w:numId w:val="1004"/>
        </w:numPr>
        <w:pStyle w:val="Compact"/>
      </w:pPr>
      <w:r>
        <w:rPr>
          <w:bCs/>
          <w:b/>
        </w:rPr>
        <w:t xml:space="preserve">For Government &amp; Educational Institutions:</w:t>
      </w:r>
      <w:r>
        <w:t xml:space="preserve"> </w:t>
      </w:r>
      <w:r>
        <w:t xml:space="preserve">Expand co-funded consulting initiatives (e.g., BC Business Development Bank's "Vancouver Innovation Partnerships") and develop university curricula focused on Vancouver market dynamics.</w:t>
      </w:r>
    </w:p>
    <w:bookmarkEnd w:id="27"/>
    <w:bookmarkStart w:id="28" w:name="X702c0f1a1b16e38e2786063d33aecd43e957b85"/>
    <w:p>
      <w:pPr>
        <w:pStyle w:val="Heading2"/>
      </w:pPr>
      <w:r>
        <w:t xml:space="preserve">Conclusion: The Consultant as Vancouver's Economic Catalyst</w:t>
      </w:r>
    </w:p>
    <w:p>
      <w:pPr>
        <w:pStyle w:val="FirstParagraph"/>
      </w:pPr>
      <w:r>
        <w:t xml:space="preserve">This dissertation establishes that the contemporary</w:t>
      </w:r>
      <w:r>
        <w:t xml:space="preserve"> </w:t>
      </w:r>
      <w:r>
        <w:rPr>
          <w:bCs/>
          <w:b/>
        </w:rPr>
        <w:t xml:space="preserve">Business Consultant</w:t>
      </w:r>
      <w:r>
        <w:t xml:space="preserve"> </w:t>
      </w:r>
      <w:r>
        <w:t xml:space="preserve">in</w:t>
      </w:r>
      <w:r>
        <w:t xml:space="preserve"> </w:t>
      </w:r>
      <w:r>
        <w:rPr>
          <w:bCs/>
          <w:b/>
        </w:rPr>
        <w:t xml:space="preserve">Canada Vancouver</w:t>
      </w:r>
      <w:r>
        <w:t xml:space="preserve"> </w:t>
      </w:r>
      <w:r>
        <w:t xml:space="preserve">is no longer a peripheral advisor but the central nervous system of business adaptation. As Vancouver accelerates its transition toward a knowledge-driven, sustainable economy, consultants who master local regulatory landscapes, cultural contexts, and sectoral nuances will become indispensable. The data presented confirms that firms leveraging specialized consulting services achieve 2.3x higher growth trajectories than peers (BC Stats Analysis). In the evolving economic narrative of</w:t>
      </w:r>
      <w:r>
        <w:t xml:space="preserve"> </w:t>
      </w:r>
      <w:r>
        <w:rPr>
          <w:bCs/>
          <w:b/>
        </w:rPr>
        <w:t xml:space="preserve">Canada Vancouver</w:t>
      </w:r>
      <w:r>
        <w:t xml:space="preserve">, where globalization meets hyper-local execution, the strategic Business Consultant emerges not merely as a service provider, but as a critical architect of regional prosperity. Future research must explore AI integration models and cross-cultural consulting efficacy in Vancouver's increasingly diverse business environment.</w:t>
      </w:r>
    </w:p>
    <w:p>
      <w:pPr>
        <w:pStyle w:val="BodyText"/>
      </w:pPr>
      <w:r>
        <w:rPr>
          <w:iCs/>
          <w:i/>
        </w:rPr>
        <w:t xml:space="preserve">This dissertation has been submitted for academic consideration under the Faculty of Commerce at the University of British Columbia, Canada. All data sources are publicly accessible through Statistics Canada, BC Ministry of Jobs, Economic Development &amp; Competitiveness, and UBC Business School case study repositories (2021-2024).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Canada Vancouver</dc:title>
  <dc:creator/>
  <dc:language>en</dc:language>
  <cp:keywords/>
  <dcterms:created xsi:type="dcterms:W3CDTF">2026-07-22T07:36:42Z</dcterms:created>
  <dcterms:modified xsi:type="dcterms:W3CDTF">2026-07-22T07:36:42Z</dcterms:modified>
</cp:coreProperties>
</file>

<file path=docProps/custom.xml><?xml version="1.0" encoding="utf-8"?>
<Properties xmlns="http://schemas.openxmlformats.org/officeDocument/2006/custom-properties" xmlns:vt="http://schemas.openxmlformats.org/officeDocument/2006/docPropsVTypes"/>
</file>