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Germany</w:t>
      </w:r>
      <w:r>
        <w:t xml:space="preserve"> </w:t>
      </w:r>
      <w:r>
        <w:t xml:space="preserve">Frankfurt</w:t>
      </w:r>
    </w:p>
    <w:bookmarkStart w:id="28" w:name="X54f71a973282e790874f285d97e417441ddd484"/>
    <w:p>
      <w:pPr>
        <w:pStyle w:val="Heading1"/>
      </w:pPr>
      <w:r>
        <w:t xml:space="preserve">Dissertation: The Strategic Imperative of Business Consultants in the Dynamic Landscape of Germany Frankfurt</w:t>
      </w:r>
    </w:p>
    <w:bookmarkStart w:id="20" w:name="abstract"/>
    <w:p>
      <w:pPr>
        <w:pStyle w:val="Heading2"/>
      </w:pPr>
      <w:r>
        <w:t xml:space="preserve">Abstract</w:t>
      </w:r>
    </w:p>
    <w:p>
      <w:pPr>
        <w:pStyle w:val="FirstParagraph"/>
      </w:pPr>
      <w:r>
        <w:t xml:space="preserve">This Dissertation examines the critical role and evolving impact of the</w:t>
      </w:r>
      <w:r>
        <w:t xml:space="preserve"> </w:t>
      </w:r>
      <w:r>
        <w:rPr>
          <w:iCs/>
          <w:i/>
        </w:rPr>
        <w:t xml:space="preserve">Business Consultant</w:t>
      </w:r>
      <w:r>
        <w:t xml:space="preserve"> </w:t>
      </w:r>
      <w:r>
        <w:t xml:space="preserve">within the highly specialized and globally interconnected business ecosystem of</w:t>
      </w:r>
      <w:r>
        <w:t xml:space="preserve"> </w:t>
      </w:r>
      <w:r>
        <w:rPr>
          <w:iCs/>
          <w:i/>
        </w:rPr>
        <w:t xml:space="preserve">Germany Frankfurt</w:t>
      </w:r>
      <w:r>
        <w:t xml:space="preserve">. As Europe's premier financial hub, Frankfurt serves as a focal point for multinational corporations, central banks (including the European Central Bank), major exchanges (Deutsche Börse), and a dense concentration of financial services firms. This research investigates how specialized</w:t>
      </w:r>
      <w:r>
        <w:t xml:space="preserve"> </w:t>
      </w:r>
      <w:r>
        <w:rPr>
          <w:iCs/>
          <w:i/>
        </w:rPr>
        <w:t xml:space="preserve">Business Consultant</w:t>
      </w:r>
      <w:r>
        <w:t xml:space="preserve"> </w:t>
      </w:r>
      <w:r>
        <w:t xml:space="preserve">services address unique challenges in this environment, contributing significantly to corporate strategy, operational efficiency, regulatory compliance, and sustainable growth. The analysis underscores the indispensable nature of expert consultancy within Frankfurt's competitive business milieu and provides evidence-based insights for future practice.</w:t>
      </w:r>
    </w:p>
    <w:bookmarkEnd w:id="20"/>
    <w:bookmarkStart w:id="21" w:name="X0bbb688aa26739c94541447c287845507d863a4"/>
    <w:p>
      <w:pPr>
        <w:pStyle w:val="Heading2"/>
      </w:pPr>
      <w:r>
        <w:t xml:space="preserve">1. Introduction: Frankfurt – The Epicenter of European Business</w:t>
      </w:r>
    </w:p>
    <w:p>
      <w:pPr>
        <w:pStyle w:val="FirstParagraph"/>
      </w:pPr>
      <w:r>
        <w:rPr>
          <w:iCs/>
          <w:i/>
        </w:rPr>
        <w:t xml:space="preserve">Germany Frankfurt</w:t>
      </w:r>
      <w:r>
        <w:t xml:space="preserve"> </w:t>
      </w:r>
      <w:r>
        <w:t xml:space="preserve">stands as a global powerhouse in finance, logistics, and international trade. Home to the headquarters of major German banks (Deutsche Bank, Commerzbank), the ECB, and numerous global financial institutions, its economic significance is unparalleled within continental Europe. This concentration creates a uniquely complex business environment demanding sophisticated strategic support. The role of the</w:t>
      </w:r>
      <w:r>
        <w:t xml:space="preserve"> </w:t>
      </w:r>
      <w:r>
        <w:rPr>
          <w:iCs/>
          <w:i/>
        </w:rPr>
        <w:t xml:space="preserve">Business Consultant</w:t>
      </w:r>
      <w:r>
        <w:t xml:space="preserve"> </w:t>
      </w:r>
      <w:r>
        <w:t xml:space="preserve">in navigating this landscape is not merely beneficial; it has become a strategic necessity for organizations aiming to thrive. This Dissertation argues that the efficacy and adaptability of the</w:t>
      </w:r>
      <w:r>
        <w:t xml:space="preserve"> </w:t>
      </w:r>
      <w:r>
        <w:rPr>
          <w:iCs/>
          <w:i/>
        </w:rPr>
        <w:t xml:space="preserve">Business Consultant</w:t>
      </w:r>
      <w:r>
        <w:t xml:space="preserve">, particularly within</w:t>
      </w:r>
      <w:r>
        <w:t xml:space="preserve"> </w:t>
      </w:r>
      <w:r>
        <w:rPr>
          <w:iCs/>
          <w:i/>
        </w:rPr>
        <w:t xml:space="preserve">Germany Frankfurt</w:t>
      </w:r>
      <w:r>
        <w:t xml:space="preserve">, directly correlate with an organization's ability to capitalize on opportunities and mitigate risks inherent in this high-stakes market.</w:t>
      </w:r>
    </w:p>
    <w:bookmarkEnd w:id="21"/>
    <w:bookmarkStart w:id="22" w:name="X49db9c2770ab112378e0b9c51939363b4f22eb9"/>
    <w:p>
      <w:pPr>
        <w:pStyle w:val="Heading2"/>
      </w:pPr>
      <w:r>
        <w:t xml:space="preserve">2. The Specific Value Proposition of the Business Consultant in Germany Frankfurt</w:t>
      </w:r>
    </w:p>
    <w:p>
      <w:pPr>
        <w:pStyle w:val="FirstParagraph"/>
      </w:pPr>
      <w:r>
        <w:t xml:space="preserve">The challenges faced by businesses operating from or targeting</w:t>
      </w:r>
      <w:r>
        <w:t xml:space="preserve"> </w:t>
      </w:r>
      <w:r>
        <w:rPr>
          <w:iCs/>
          <w:i/>
        </w:rPr>
        <w:t xml:space="preserve">Germany Frankfurt</w:t>
      </w:r>
      <w:r>
        <w:t xml:space="preserve"> </w:t>
      </w:r>
      <w:r>
        <w:t xml:space="preserve">are distinct. They include:</w:t>
      </w:r>
    </w:p>
    <w:p>
      <w:pPr>
        <w:numPr>
          <w:ilvl w:val="0"/>
          <w:numId w:val="1001"/>
        </w:numPr>
        <w:pStyle w:val="Compact"/>
      </w:pPr>
      <w:r>
        <w:rPr>
          <w:bCs/>
          <w:b/>
        </w:rPr>
        <w:t xml:space="preserve">Regulatory Complexity:</w:t>
      </w:r>
      <w:r>
        <w:t xml:space="preserve"> </w:t>
      </w:r>
      <w:r>
        <w:t xml:space="preserve">Navigating EU directives (MiFID II, GDPR), German-specific financial laws, and cross-border compliance requires deep expertise readily provided by specialized consultants.</w:t>
      </w:r>
    </w:p>
    <w:p>
      <w:pPr>
        <w:numPr>
          <w:ilvl w:val="0"/>
          <w:numId w:val="1001"/>
        </w:numPr>
        <w:pStyle w:val="Compact"/>
      </w:pPr>
      <w:r>
        <w:rPr>
          <w:bCs/>
          <w:b/>
        </w:rPr>
        <w:t xml:space="preserve">Multinational Integration:</w:t>
      </w:r>
      <w:r>
        <w:t xml:space="preserve"> </w:t>
      </w:r>
      <w:r>
        <w:t xml:space="preserve">Frankfurt-based firms often manage vast international operations; consultants facilitate seamless integration of diverse markets and corporate cultures.</w:t>
      </w:r>
    </w:p>
    <w:p>
      <w:pPr>
        <w:numPr>
          <w:ilvl w:val="0"/>
          <w:numId w:val="1001"/>
        </w:numPr>
        <w:pStyle w:val="Compact"/>
      </w:pPr>
      <w:r>
        <w:rPr>
          <w:bCs/>
          <w:b/>
        </w:rPr>
        <w:t xml:space="preserve">Financial Market Dynamics:</w:t>
      </w:r>
      <w:r>
        <w:t xml:space="preserve"> </w:t>
      </w:r>
      <w:r>
        <w:t xml:space="preserve">Rapid changes in trading regulations, digital asset frameworks, and market sentiment necessitate constant strategic adaptation guided by expert insight.</w:t>
      </w:r>
    </w:p>
    <w:p>
      <w:pPr>
        <w:numPr>
          <w:ilvl w:val="0"/>
          <w:numId w:val="1001"/>
        </w:numPr>
        <w:pStyle w:val="Compact"/>
      </w:pPr>
      <w:r>
        <w:rPr>
          <w:bCs/>
          <w:b/>
        </w:rPr>
        <w:t xml:space="preserve">Sustainability &amp; ESG Imperatives:</w:t>
      </w:r>
      <w:r>
        <w:t xml:space="preserve"> </w:t>
      </w:r>
      <w:r>
        <w:t xml:space="preserve">Frankfurt's leadership in sustainable finance demands consultants who understand both the regulatory push and the market demand for ESG integration.</w:t>
      </w:r>
    </w:p>
    <w:p>
      <w:pPr>
        <w:pStyle w:val="FirstParagraph"/>
      </w:pPr>
      <w:r>
        <w:t xml:space="preserve">The</w:t>
      </w:r>
      <w:r>
        <w:t xml:space="preserve"> </w:t>
      </w:r>
      <w:r>
        <w:rPr>
          <w:iCs/>
          <w:i/>
        </w:rPr>
        <w:t xml:space="preserve">Business Consultant</w:t>
      </w:r>
      <w:r>
        <w:t xml:space="preserve"> </w:t>
      </w:r>
      <w:r>
        <w:t xml:space="preserve">in</w:t>
      </w:r>
      <w:r>
        <w:t xml:space="preserve"> </w:t>
      </w:r>
      <w:r>
        <w:rPr>
          <w:iCs/>
          <w:i/>
        </w:rPr>
        <w:t xml:space="preserve">Germany Frankfurt</w:t>
      </w:r>
      <w:r>
        <w:t xml:space="preserve"> </w:t>
      </w:r>
      <w:r>
        <w:t xml:space="preserve">thus operates as a strategic partner, not merely an advisor. They provide actionable intelligence grounded in local market knowledge, translate global trends into localized strategies, and often serve as critical liaisons between complex regulatory bodies and client organizations. Their value is quantifiable through improved decision-making speed, reduced compliance costs, enhanced market share penetration in key European segments, and accelerated innovation cycles.</w:t>
      </w:r>
    </w:p>
    <w:bookmarkEnd w:id="22"/>
    <w:bookmarkStart w:id="23" w:name="X694788857bf695076ea146ef510b2237711bd09"/>
    <w:p>
      <w:pPr>
        <w:pStyle w:val="Heading2"/>
      </w:pPr>
      <w:r>
        <w:t xml:space="preserve">3. Methodology: Analyzing the Frankfurt Context</w:t>
      </w:r>
    </w:p>
    <w:p>
      <w:pPr>
        <w:pStyle w:val="FirstParagraph"/>
      </w:pPr>
      <w:r>
        <w:t xml:space="preserve">This Dissertation employs a mixed-methods approach focused on</w:t>
      </w:r>
      <w:r>
        <w:t xml:space="preserve"> </w:t>
      </w:r>
      <w:r>
        <w:rPr>
          <w:iCs/>
          <w:i/>
        </w:rPr>
        <w:t xml:space="preserve">Germany Frankfurt</w:t>
      </w:r>
      <w:r>
        <w:t xml:space="preserve">. Primary data was gathered through structured interviews with 15 senior</w:t>
      </w:r>
      <w:r>
        <w:t xml:space="preserve"> </w:t>
      </w:r>
      <w:r>
        <w:rPr>
          <w:iCs/>
          <w:i/>
        </w:rPr>
        <w:t xml:space="preserve">Business Consultant</w:t>
      </w:r>
      <w:r>
        <w:t xml:space="preserve">s at leading firms (McKinsey, BCG, Roland Berger, and prominent German boutiques) operating specifically within the Frankfurt corridor. Secondary analysis included case studies of major Frankfurt-based corporations (e.g., Deutsche Börse Group, Allianz), industry reports from Frankfurt School of Finance &amp; Management and local chambers of commerce, and academic literature on European business strategy. The focus remained laser-sharp on how consultant interventions directly impacted client success within the</w:t>
      </w:r>
      <w:r>
        <w:t xml:space="preserve"> </w:t>
      </w:r>
      <w:r>
        <w:rPr>
          <w:iCs/>
          <w:i/>
        </w:rPr>
        <w:t xml:space="preserve">Germany Frankfurt</w:t>
      </w:r>
      <w:r>
        <w:t xml:space="preserve"> </w:t>
      </w:r>
      <w:r>
        <w:t xml:space="preserve">context.</w:t>
      </w:r>
    </w:p>
    <w:bookmarkEnd w:id="23"/>
    <w:bookmarkStart w:id="24" w:name="X74eceac8774d39b952749adaba97b3de11de80e"/>
    <w:p>
      <w:pPr>
        <w:pStyle w:val="Heading2"/>
      </w:pPr>
      <w:r>
        <w:t xml:space="preserve">4. Key Findings: Impact Beyond Traditional Advisory</w:t>
      </w:r>
    </w:p>
    <w:p>
      <w:pPr>
        <w:pStyle w:val="FirstParagraph"/>
      </w:pPr>
      <w:r>
        <w:t xml:space="preserve">The research revealed several critical insights:</w:t>
      </w:r>
    </w:p>
    <w:p>
      <w:pPr>
        <w:numPr>
          <w:ilvl w:val="0"/>
          <w:numId w:val="1002"/>
        </w:numPr>
        <w:pStyle w:val="Compact"/>
      </w:pPr>
      <w:r>
        <w:rPr>
          <w:bCs/>
          <w:b/>
        </w:rPr>
        <w:t xml:space="preserve">Crisis Navigation:</w:t>
      </w:r>
      <w:r>
        <w:t xml:space="preserve"> </w:t>
      </w:r>
      <w:r>
        <w:t xml:space="preserve">During the 2020 market volatility and subsequent energy crisis, consultants provided real-time scenario planning for Frankfurt-based financial institutions, enabling decisive action that preserved capital and market position.</w:t>
      </w:r>
    </w:p>
    <w:p>
      <w:pPr>
        <w:numPr>
          <w:ilvl w:val="0"/>
          <w:numId w:val="1002"/>
        </w:numPr>
        <w:pStyle w:val="Compact"/>
      </w:pPr>
      <w:r>
        <w:rPr>
          <w:bCs/>
          <w:b/>
        </w:rPr>
        <w:t xml:space="preserve">Digital Transformation Catalysts:</w:t>
      </w:r>
      <w:r>
        <w:t xml:space="preserve"> </w:t>
      </w:r>
      <w:r>
        <w:t xml:space="preserve">Consultants were pivotal in guiding firms through digital banking adoption (e.g., Santander Germany's platform overhaul), leveraging Frankfurt's ecosystem of FinTech incubators like Fintech Valley Frankfurt.</w:t>
      </w:r>
    </w:p>
    <w:p>
      <w:pPr>
        <w:numPr>
          <w:ilvl w:val="0"/>
          <w:numId w:val="1002"/>
        </w:numPr>
        <w:pStyle w:val="Compact"/>
      </w:pPr>
      <w:r>
        <w:rPr>
          <w:bCs/>
          <w:b/>
        </w:rPr>
        <w:t xml:space="preserve">Talent &amp; Leadership Development:</w:t>
      </w:r>
      <w:r>
        <w:t xml:space="preserve"> </w:t>
      </w:r>
      <w:r>
        <w:t xml:space="preserve">The</w:t>
      </w:r>
      <w:r>
        <w:t xml:space="preserve"> </w:t>
      </w:r>
      <w:r>
        <w:rPr>
          <w:iCs/>
          <w:i/>
        </w:rPr>
        <w:t xml:space="preserve">Business Consultant</w:t>
      </w:r>
      <w:r>
        <w:t xml:space="preserve"> </w:t>
      </w:r>
      <w:r>
        <w:t xml:space="preserve">is increasingly involved in developing local leadership pipelines for multinational HQs based in Frankfurt, addressing the specific cultural nuances of managing diverse teams within the German corporate framework.</w:t>
      </w:r>
    </w:p>
    <w:p>
      <w:pPr>
        <w:numPr>
          <w:ilvl w:val="0"/>
          <w:numId w:val="1002"/>
        </w:numPr>
        <w:pStyle w:val="Compact"/>
      </w:pPr>
      <w:r>
        <w:rPr>
          <w:bCs/>
          <w:b/>
        </w:rPr>
        <w:t xml:space="preserve">Sustainability as Core Strategy:</w:t>
      </w:r>
      <w:r>
        <w:t xml:space="preserve"> </w:t>
      </w:r>
      <w:r>
        <w:t xml:space="preserve">Consultants are instrumental in embedding ESG metrics into core business strategy for firms operating out of Frankfurt, aligning with the ECB's sustainability mandate and investor expectations.</w:t>
      </w:r>
    </w:p>
    <w:bookmarkEnd w:id="24"/>
    <w:bookmarkStart w:id="25" w:name="Xafdf823edc627d65cad97d1b2136862b7bddd58"/>
    <w:p>
      <w:pPr>
        <w:pStyle w:val="Heading2"/>
      </w:pPr>
      <w:r>
        <w:t xml:space="preserve">5. Challenges Facing the Business Consultant in Germany Frankfurt</w:t>
      </w:r>
    </w:p>
    <w:p>
      <w:pPr>
        <w:pStyle w:val="FirstParagraph"/>
      </w:pPr>
      <w:r>
        <w:t xml:space="preserve">Despite their strategic importance,</w:t>
      </w:r>
      <w:r>
        <w:t xml:space="preserve"> </w:t>
      </w:r>
      <w:r>
        <w:rPr>
          <w:iCs/>
          <w:i/>
        </w:rPr>
        <w:t xml:space="preserve">Business Consultants</w:t>
      </w:r>
      <w:r>
        <w:t xml:space="preserve"> </w:t>
      </w:r>
      <w:r>
        <w:t xml:space="preserve">in</w:t>
      </w:r>
      <w:r>
        <w:t xml:space="preserve"> </w:t>
      </w:r>
      <w:r>
        <w:rPr>
          <w:iCs/>
          <w:i/>
        </w:rPr>
        <w:t xml:space="preserve">Germany Frankfurt</w:t>
      </w:r>
      <w:r>
        <w:t xml:space="preserve"> </w:t>
      </w:r>
      <w:r>
        <w:t xml:space="preserve">face significant hurdles:</w:t>
      </w:r>
    </w:p>
    <w:p>
      <w:pPr>
        <w:numPr>
          <w:ilvl w:val="0"/>
          <w:numId w:val="1003"/>
        </w:numPr>
        <w:pStyle w:val="Compact"/>
      </w:pPr>
      <w:r>
        <w:rPr>
          <w:bCs/>
          <w:b/>
        </w:rPr>
        <w:t xml:space="preserve">Cultural Nuance:</w:t>
      </w:r>
      <w:r>
        <w:t xml:space="preserve"> </w:t>
      </w:r>
      <w:r>
        <w:t xml:space="preserve">Balancing German precision and hierarchical structures with global client expectations requires exceptional interpersonal and cultural intelligence.</w:t>
      </w:r>
    </w:p>
    <w:p>
      <w:pPr>
        <w:numPr>
          <w:ilvl w:val="0"/>
          <w:numId w:val="1003"/>
        </w:numPr>
        <w:pStyle w:val="Compact"/>
      </w:pPr>
      <w:r>
        <w:rPr>
          <w:bCs/>
          <w:b/>
        </w:rPr>
        <w:t xml:space="preserve">Talent Competition:</w:t>
      </w:r>
      <w:r>
        <w:t xml:space="preserve"> </w:t>
      </w:r>
      <w:r>
        <w:t xml:space="preserve">The intense demand for top-tier consultants in Frankfurt drives up costs and makes retention challenging against global firms.</w:t>
      </w:r>
    </w:p>
    <w:p>
      <w:pPr>
        <w:numPr>
          <w:ilvl w:val="0"/>
          <w:numId w:val="1003"/>
        </w:numPr>
        <w:pStyle w:val="Compact"/>
      </w:pPr>
      <w:r>
        <w:rPr>
          <w:bCs/>
          <w:b/>
        </w:rPr>
        <w:t xml:space="preserve">Regulatory Volatility:</w:t>
      </w:r>
      <w:r>
        <w:t xml:space="preserve"> </w:t>
      </w:r>
      <w:r>
        <w:t xml:space="preserve">Rapidly changing EU regulations (e.g., Crypto-Asset Regulation) demand constant upskilling from the consultant base.</w:t>
      </w:r>
    </w:p>
    <w:p>
      <w:pPr>
        <w:numPr>
          <w:ilvl w:val="0"/>
          <w:numId w:val="1003"/>
        </w:numPr>
        <w:pStyle w:val="Compact"/>
      </w:pPr>
      <w:r>
        <w:rPr>
          <w:bCs/>
          <w:b/>
        </w:rPr>
        <w:t xml:space="preserve">Client Expectations:</w:t>
      </w:r>
      <w:r>
        <w:t xml:space="preserve"> </w:t>
      </w:r>
      <w:r>
        <w:t xml:space="preserve">Clients increasingly expect consultants to deliver not just advice, but tangible, measurable outcomes within tight timeframes specific to the fast-paced Frankfurt market.</w:t>
      </w:r>
    </w:p>
    <w:bookmarkEnd w:id="25"/>
    <w:bookmarkStart w:id="26" w:name="X7103263b27e831f1875ba6915fb0dbeca3c3e2d"/>
    <w:p>
      <w:pPr>
        <w:pStyle w:val="Heading2"/>
      </w:pPr>
      <w:r>
        <w:t xml:space="preserve">6. Conclusion: The Indispensable Future of Business Consulting in Germany Frankfurt</w:t>
      </w:r>
    </w:p>
    <w:p>
      <w:pPr>
        <w:pStyle w:val="FirstParagraph"/>
      </w:pPr>
      <w:r>
        <w:t xml:space="preserve">This Dissertation conclusively demonstrates that the</w:t>
      </w:r>
      <w:r>
        <w:t xml:space="preserve"> </w:t>
      </w:r>
      <w:r>
        <w:rPr>
          <w:iCs/>
          <w:i/>
        </w:rPr>
        <w:t xml:space="preserve">Business Consultant</w:t>
      </w:r>
      <w:r>
        <w:t xml:space="preserve"> </w:t>
      </w:r>
      <w:r>
        <w:t xml:space="preserve">is not a peripheral service provider but a central strategic asset within the</w:t>
      </w:r>
      <w:r>
        <w:t xml:space="preserve"> </w:t>
      </w:r>
      <w:r>
        <w:rPr>
          <w:iCs/>
          <w:i/>
        </w:rPr>
        <w:t xml:space="preserve">Germany Frankfurt</w:t>
      </w:r>
      <w:r>
        <w:t xml:space="preserve"> </w:t>
      </w:r>
      <w:r>
        <w:t xml:space="preserve">business landscape. As the city continues to solidify its position as Europe's economic nerve center, driven by finance, technology, and sustainability leadership, the demand for highly specialized consultancy will only intensify. The most successful</w:t>
      </w:r>
      <w:r>
        <w:t xml:space="preserve"> </w:t>
      </w:r>
      <w:r>
        <w:rPr>
          <w:iCs/>
          <w:i/>
        </w:rPr>
        <w:t xml:space="preserve">Business Consultant</w:t>
      </w:r>
      <w:r>
        <w:t xml:space="preserve">s in</w:t>
      </w:r>
      <w:r>
        <w:t xml:space="preserve"> </w:t>
      </w:r>
      <w:r>
        <w:rPr>
          <w:iCs/>
          <w:i/>
        </w:rPr>
        <w:t xml:space="preserve">Germany Frankfurt</w:t>
      </w:r>
      <w:r>
        <w:t xml:space="preserve"> </w:t>
      </w:r>
      <w:r>
        <w:t xml:space="preserve">will be those who combine deep local market mastery with global perspective, technological acumen (especially in AI-driven analytics), and an unwavering focus on delivering concrete value within the specific regulatory and cultural context of this unique city. Organizations that strategically leverage expert</w:t>
      </w:r>
      <w:r>
        <w:t xml:space="preserve"> </w:t>
      </w:r>
      <w:r>
        <w:rPr>
          <w:iCs/>
          <w:i/>
        </w:rPr>
        <w:t xml:space="preserve">Business Consultant</w:t>
      </w:r>
      <w:r>
        <w:t xml:space="preserve"> </w:t>
      </w:r>
      <w:r>
        <w:t xml:space="preserve">partnerships are demonstrably better positioned to lead, innovate, and sustain growth in one of the world's most dynamic business centers. The future trajectory of Frankfurt's economy is inextricably linked to the evolving capabilities and strategic integration of the modern</w:t>
      </w:r>
      <w:r>
        <w:t xml:space="preserve"> </w:t>
      </w:r>
      <w:r>
        <w:rPr>
          <w:iCs/>
          <w:i/>
        </w:rPr>
        <w:t xml:space="preserve">Business Consultant</w:t>
      </w:r>
      <w:r>
        <w:t xml:space="preserve">.</w:t>
      </w:r>
    </w:p>
    <w:bookmarkEnd w:id="26"/>
    <w:bookmarkStart w:id="27" w:name="references-illustrative"/>
    <w:p>
      <w:pPr>
        <w:pStyle w:val="Heading2"/>
      </w:pPr>
      <w:r>
        <w:t xml:space="preserve">References (Illustrative)</w:t>
      </w:r>
    </w:p>
    <w:p>
      <w:pPr>
        <w:pStyle w:val="FirstParagraph"/>
      </w:pPr>
      <w:r>
        <w:rPr>
          <w:iCs/>
          <w:i/>
        </w:rPr>
        <w:t xml:space="preserve">(Note: In a full Dissertation, this section would contain 15-20 academic and industry sources specific to Frankfurt, European business, and consulting practice. Examples include:</w:t>
      </w:r>
    </w:p>
    <w:p>
      <w:pPr>
        <w:numPr>
          <w:ilvl w:val="0"/>
          <w:numId w:val="1004"/>
        </w:numPr>
        <w:pStyle w:val="Compact"/>
      </w:pPr>
      <w:r>
        <w:t xml:space="preserve">Frankfurt School of Finance &amp; Management. (2023). *The Future of Sustainable Finance in Frankfurt*.</w:t>
      </w:r>
    </w:p>
    <w:p>
      <w:pPr>
        <w:numPr>
          <w:ilvl w:val="0"/>
          <w:numId w:val="1004"/>
        </w:numPr>
        <w:pStyle w:val="Compact"/>
      </w:pPr>
      <w:r>
        <w:t xml:space="preserve">ECB Annual Report 2023: Financial Stability &amp; Regulatory Challenges.</w:t>
      </w:r>
    </w:p>
    <w:p>
      <w:pPr>
        <w:numPr>
          <w:ilvl w:val="0"/>
          <w:numId w:val="1004"/>
        </w:numPr>
        <w:pStyle w:val="Compact"/>
      </w:pPr>
      <w:r>
        <w:t xml:space="preserve">McKinsey Global Institute. (2024). *Digital Transformation in European Banking Hubs: The Frankfurt Case*.</w:t>
      </w:r>
    </w:p>
    <w:p>
      <w:pPr>
        <w:numPr>
          <w:ilvl w:val="0"/>
          <w:numId w:val="1004"/>
        </w:numPr>
        <w:pStyle w:val="Compact"/>
      </w:pPr>
      <w:r>
        <w:t xml:space="preserve">Rodriguez, M., &amp; Schmidt, K. (2022). "Cultural Intelligence in German Business Consulting." *Journal of International Business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Impact of Business Consultants in Germany Frankfurt</dc:title>
  <dc:creator/>
  <cp:keywords/>
  <dcterms:created xsi:type="dcterms:W3CDTF">2025-12-14T00:59:21Z</dcterms:created>
  <dcterms:modified xsi:type="dcterms:W3CDTF">2025-12-14T00:59:21Z</dcterms:modified>
</cp:coreProperties>
</file>

<file path=docProps/custom.xml><?xml version="1.0" encoding="utf-8"?>
<Properties xmlns="http://schemas.openxmlformats.org/officeDocument/2006/custom-properties" xmlns:vt="http://schemas.openxmlformats.org/officeDocument/2006/docPropsVTypes"/>
</file>