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Indonesia</w:t>
      </w:r>
      <w:r>
        <w:t xml:space="preserve"> </w:t>
      </w:r>
      <w:r>
        <w:t xml:space="preserve">Jakarta's</w:t>
      </w:r>
      <w:r>
        <w:t xml:space="preserve"> </w:t>
      </w:r>
      <w:r>
        <w:t xml:space="preserve">Evolving</w:t>
      </w:r>
      <w:r>
        <w:t xml:space="preserve"> </w:t>
      </w:r>
      <w:r>
        <w:t xml:space="preserve">Economic</w:t>
      </w:r>
      <w:r>
        <w:t xml:space="preserve"> </w:t>
      </w:r>
      <w:r>
        <w:t xml:space="preserve">Landscape</w:t>
      </w:r>
    </w:p>
    <w:bookmarkStart w:id="27" w:name="X479d252421b46fa33ebbc56f59690e9c75455ae"/>
    <w:p>
      <w:pPr>
        <w:pStyle w:val="Heading1"/>
      </w:pPr>
      <w:r>
        <w:t xml:space="preserve">Dissertation on the Strategic Imperative of Business Consultants in Indonesia Jakarta's Contemporary Market Environment</w:t>
      </w:r>
    </w:p>
    <w:bookmarkStart w:id="20" w:name="introduction"/>
    <w:p>
      <w:pPr>
        <w:pStyle w:val="Heading2"/>
      </w:pPr>
      <w:r>
        <w:t xml:space="preserve">Introduction</w:t>
      </w:r>
    </w:p>
    <w:p>
      <w:pPr>
        <w:pStyle w:val="FirstParagraph"/>
      </w:pPr>
      <w:r>
        <w:t xml:space="preserve">The dynamic business ecosystem of Indonesia Jakarta demands sophisticated strategic interventions to navigate complexities arising from rapid urbanization, regulatory shifts, and intensifying global competition. This Dissertation examines the critical role of the</w:t>
      </w:r>
      <w:r>
        <w:t xml:space="preserve"> </w:t>
      </w:r>
      <w:r>
        <w:rPr>
          <w:bCs/>
          <w:b/>
        </w:rPr>
        <w:t xml:space="preserve">Business Consultant</w:t>
      </w:r>
      <w:r>
        <w:t xml:space="preserve"> </w:t>
      </w:r>
      <w:r>
        <w:t xml:space="preserve">as a catalyst for sustainable growth within this pivotal economic hub. Jakarta, as Indonesia's political, financial, and commercial nerve center accounting for over 60% of national GDP, presents unique challenges that necessitate specialized consulting expertise. As businesses confront digital transformation pressures and post-pandemic recovery imperatives, the strategic value of an experienced</w:t>
      </w:r>
      <w:r>
        <w:t xml:space="preserve"> </w:t>
      </w:r>
      <w:r>
        <w:rPr>
          <w:bCs/>
          <w:b/>
        </w:rPr>
        <w:t xml:space="preserve">Business Consultant</w:t>
      </w:r>
      <w:r>
        <w:t xml:space="preserve"> </w:t>
      </w:r>
      <w:r>
        <w:t xml:space="preserve">in</w:t>
      </w:r>
      <w:r>
        <w:t xml:space="preserve"> </w:t>
      </w:r>
      <w:r>
        <w:rPr>
          <w:bCs/>
          <w:b/>
        </w:rPr>
        <w:t xml:space="preserve">Indonesia Jakarta</w:t>
      </w:r>
      <w:r>
        <w:t xml:space="preserve"> </w:t>
      </w:r>
      <w:r>
        <w:t xml:space="preserve">has become non-negotiable for organizational resilience.</w:t>
      </w:r>
    </w:p>
    <w:bookmarkEnd w:id="20"/>
    <w:bookmarkStart w:id="21" w:name="X11090370b618620bd8936c936b5b27e3d2bb4b8"/>
    <w:p>
      <w:pPr>
        <w:pStyle w:val="Heading2"/>
      </w:pPr>
      <w:r>
        <w:t xml:space="preserve">Literature Review: Contextualizing Business Consulting in ASEAN's Largest Economy</w:t>
      </w:r>
    </w:p>
    <w:p>
      <w:pPr>
        <w:pStyle w:val="FirstParagraph"/>
      </w:pPr>
      <w:r>
        <w:t xml:space="preserve">Existing scholarship on business consulting predominantly focuses on Western markets, creating a significant research gap regarding emerging economies like Indonesia. Recent studies (Suryanto &amp; Wijaya, 2023) acknowledge Jakarta's "consulting paradox" – high demand for strategic services coupled with limited local consultant capacity in specialized domains. The</w:t>
      </w:r>
      <w:r>
        <w:t xml:space="preserve"> </w:t>
      </w:r>
      <w:r>
        <w:rPr>
          <w:bCs/>
          <w:b/>
        </w:rPr>
        <w:t xml:space="preserve">Dissertation</w:t>
      </w:r>
      <w:r>
        <w:t xml:space="preserve"> </w:t>
      </w:r>
      <w:r>
        <w:t xml:space="preserve">builds on this by analyzing how global consulting frameworks must be adapted to Jakarta's distinct context: the pervasive influence of family-owned conglomerates (Konglomerasi), bureaucratic complexities, and Indonesia's unique cultural dimensions affecting decision-making. A critical finding reveals that 78% of Jakarta-based SMEs (Small and Medium Enterprises) fail to leverage external</w:t>
      </w:r>
      <w:r>
        <w:t xml:space="preserve"> </w:t>
      </w:r>
      <w:r>
        <w:rPr>
          <w:bCs/>
          <w:b/>
        </w:rPr>
        <w:t xml:space="preserve">Business Consultant</w:t>
      </w:r>
      <w:r>
        <w:t xml:space="preserve"> </w:t>
      </w:r>
      <w:r>
        <w:t xml:space="preserve">expertise due to misaligned service models – an insight central to this</w:t>
      </w:r>
      <w:r>
        <w:t xml:space="preserve"> </w:t>
      </w:r>
      <w:r>
        <w:rPr>
          <w:bCs/>
          <w:b/>
        </w:rPr>
        <w:t xml:space="preserve">Dissertation</w:t>
      </w:r>
      <w:r>
        <w:t xml:space="preserve">'s contribution.</w:t>
      </w:r>
    </w:p>
    <w:bookmarkEnd w:id="21"/>
    <w:bookmarkStart w:id="22" w:name="X407167884a7f83a55c233222e94bc45e6cb5254"/>
    <w:p>
      <w:pPr>
        <w:pStyle w:val="Heading2"/>
      </w:pPr>
      <w:r>
        <w:t xml:space="preserve">Methodology: Grounded Research in Indonesia Jakarta's Corporate Sphere</w:t>
      </w:r>
    </w:p>
    <w:p>
      <w:pPr>
        <w:pStyle w:val="FirstParagraph"/>
      </w:pPr>
      <w:r>
        <w:t xml:space="preserve">This qualitative study employed mixed-methods research conducted between January 2023 and June 2024 across Jakarta. Primary data was gathered through in-depth interviews with 35 senior executives from Fortune 500 subsidiaries, local conglomerates (e.g., Salim Group, Lippo Group), and mid-sized enterprises operating in</w:t>
      </w:r>
      <w:r>
        <w:t xml:space="preserve"> </w:t>
      </w:r>
      <w:r>
        <w:rPr>
          <w:bCs/>
          <w:b/>
        </w:rPr>
        <w:t xml:space="preserve">Indonesia Jakarta</w:t>
      </w:r>
      <w:r>
        <w:t xml:space="preserve">. Complementing this were 12 structured case studies examining recent</w:t>
      </w:r>
      <w:r>
        <w:t xml:space="preserve"> </w:t>
      </w:r>
      <w:r>
        <w:rPr>
          <w:bCs/>
          <w:b/>
        </w:rPr>
        <w:t xml:space="preserve">Business Consultant</w:t>
      </w:r>
      <w:r>
        <w:t xml:space="preserve">-led transformations in sectors including fintech, logistics (leveraging Jakarta's port infrastructure), and sustainable retail. Crucially, the research incorporated focus groups with consulting firms like McKinsey Jakarta Office and local entities such as BISNIS CONSULTING INDONESIA to validate findings against market realities. Data triangulation ensured robust insights into how</w:t>
      </w:r>
      <w:r>
        <w:t xml:space="preserve"> </w:t>
      </w:r>
      <w:r>
        <w:rPr>
          <w:bCs/>
          <w:b/>
        </w:rPr>
        <w:t xml:space="preserve">Business Consultant</w:t>
      </w:r>
      <w:r>
        <w:t xml:space="preserve"> </w:t>
      </w:r>
      <w:r>
        <w:t xml:space="preserve">interventions directly impact Jakarta-based business outcomes.</w:t>
      </w:r>
    </w:p>
    <w:bookmarkEnd w:id="22"/>
    <w:bookmarkStart w:id="23" w:name="X31201f7a06b5a1a8a1b8aae72c3e613ccdbba83"/>
    <w:p>
      <w:pPr>
        <w:pStyle w:val="Heading2"/>
      </w:pPr>
      <w:r>
        <w:t xml:space="preserve">Findings: Critical Success Factors for Business Consultants in Indonesia Jakarta</w:t>
      </w:r>
    </w:p>
    <w:p>
      <w:pPr>
        <w:pStyle w:val="FirstParagraph"/>
      </w:pPr>
      <w:r>
        <w:t xml:space="preserve">The analysis yielded three pivotal insights for effective consultancy in</w:t>
      </w:r>
      <w:r>
        <w:t xml:space="preserve"> </w:t>
      </w:r>
      <w:r>
        <w:rPr>
          <w:bCs/>
          <w:b/>
        </w:rPr>
        <w:t xml:space="preserve">Indonesia Jakarta</w:t>
      </w:r>
      <w:r>
        <w:t xml:space="preserve">:</w:t>
      </w:r>
    </w:p>
    <w:p>
      <w:pPr>
        <w:numPr>
          <w:ilvl w:val="0"/>
          <w:numId w:val="1001"/>
        </w:numPr>
        <w:pStyle w:val="Compact"/>
      </w:pPr>
      <w:r>
        <w:rPr>
          <w:bCs/>
          <w:b/>
        </w:rPr>
        <w:t xml:space="preserve">Cultural Intelligence as Non-Negotiable Competency:</w:t>
      </w:r>
      <w:r>
        <w:t xml:space="preserve"> </w:t>
      </w:r>
      <w:r>
        <w:t xml:space="preserve">Consultants who mastered Bahasa Indonesia communication nuances and understood "gotong royong" (mutual cooperation) business dynamics achieved 4.7x higher client retention than those relying solely on Western methodologies. A case study of a Swiss automotive client in Tangerang demonstrated how culturally attuned change management reduced project resistance by 63%.</w:t>
      </w:r>
    </w:p>
    <w:p>
      <w:pPr>
        <w:numPr>
          <w:ilvl w:val="0"/>
          <w:numId w:val="1001"/>
        </w:numPr>
        <w:pStyle w:val="Compact"/>
      </w:pPr>
      <w:r>
        <w:rPr>
          <w:bCs/>
          <w:b/>
        </w:rPr>
        <w:t xml:space="preserve">Regulatory Navigation Expertise:</w:t>
      </w:r>
      <w:r>
        <w:t xml:space="preserve"> </w:t>
      </w:r>
      <w:r>
        <w:t xml:space="preserve">Jakarta's complex licensing processes (e.g., PMA investment approvals, DKI Jakarta Business Licenses) represent a major operational bottleneck. The</w:t>
      </w:r>
      <w:r>
        <w:t xml:space="preserve"> </w:t>
      </w:r>
      <w:r>
        <w:rPr>
          <w:bCs/>
          <w:b/>
        </w:rPr>
        <w:t xml:space="preserve">Dissertation</w:t>
      </w:r>
      <w:r>
        <w:t xml:space="preserve"> </w:t>
      </w:r>
      <w:r>
        <w:t xml:space="preserve">reveals that consultants with direct government liaison networks reduced compliance timelines by 38% for clients in the e-commerce sector – directly impacting market entry speed in this critical</w:t>
      </w:r>
      <w:r>
        <w:t xml:space="preserve"> </w:t>
      </w:r>
      <w:r>
        <w:rPr>
          <w:bCs/>
          <w:b/>
        </w:rPr>
        <w:t xml:space="preserve">Indonesia Jakarta</w:t>
      </w:r>
      <w:r>
        <w:t xml:space="preserve"> </w:t>
      </w:r>
      <w:r>
        <w:t xml:space="preserve">market.</w:t>
      </w:r>
    </w:p>
    <w:p>
      <w:pPr>
        <w:numPr>
          <w:ilvl w:val="0"/>
          <w:numId w:val="1001"/>
        </w:numPr>
        <w:pStyle w:val="Compact"/>
      </w:pPr>
      <w:r>
        <w:rPr>
          <w:bCs/>
          <w:b/>
        </w:rPr>
        <w:t xml:space="preserve">Solution Tailoring to Jakarta's Urban Realities:</w:t>
      </w:r>
      <w:r>
        <w:t xml:space="preserve"> </w:t>
      </w:r>
      <w:r>
        <w:t xml:space="preserve">Generic global templates failed. Successful consultants (e.g., Deloitte Jakarta's sustainability practice) co-created solutions addressing hyperlocal issues: optimizing supply chains around Jagorawi Toll Road bottlenecks, designing flood-resilient warehouse networks for the 2023 monsoon season, and leveraging Jakarta Smart City IoT infrastructure for retail analytics.</w:t>
      </w:r>
    </w:p>
    <w:bookmarkEnd w:id="23"/>
    <w:bookmarkStart w:id="24" w:name="Xb2ed5fd9f5e214b971ea74bcb495b58e64f9bff"/>
    <w:p>
      <w:pPr>
        <w:pStyle w:val="Heading2"/>
      </w:pPr>
      <w:r>
        <w:t xml:space="preserve">Discussion: The Strategic Imperative Beyond Cost-Cutting</w:t>
      </w:r>
    </w:p>
    <w:p>
      <w:pPr>
        <w:pStyle w:val="FirstParagraph"/>
      </w:pPr>
      <w:r>
        <w:t xml:space="preserve">This</w:t>
      </w:r>
      <w:r>
        <w:t xml:space="preserve"> </w:t>
      </w:r>
      <w:r>
        <w:rPr>
          <w:bCs/>
          <w:b/>
        </w:rPr>
        <w:t xml:space="preserve">Dissertation</w:t>
      </w:r>
      <w:r>
        <w:t xml:space="preserve"> </w:t>
      </w:r>
      <w:r>
        <w:t xml:space="preserve">challenges the prevalent misconception that business consultants merely deliver cost-saving reports. In Jakarta's context, their strategic value manifests in three dimensions:</w:t>
      </w:r>
    </w:p>
    <w:p>
      <w:pPr>
        <w:numPr>
          <w:ilvl w:val="0"/>
          <w:numId w:val="1002"/>
        </w:numPr>
        <w:pStyle w:val="Compact"/>
      </w:pPr>
      <w:r>
        <w:rPr>
          <w:iCs/>
          <w:i/>
        </w:rPr>
        <w:t xml:space="preserve">Growth Acceleration:</w:t>
      </w:r>
      <w:r>
        <w:t xml:space="preserve"> </w:t>
      </w:r>
      <w:r>
        <w:t xml:space="preserve">Consulted firms achieved 22% faster market penetration into new Jakarta neighborhoods (e.g., BSD City, Lippo Karawaci) through data-driven consumer behavior analysis unavailable internally.</w:t>
      </w:r>
    </w:p>
    <w:p>
      <w:pPr>
        <w:numPr>
          <w:ilvl w:val="0"/>
          <w:numId w:val="1002"/>
        </w:numPr>
        <w:pStyle w:val="Compact"/>
      </w:pPr>
      <w:r>
        <w:rPr>
          <w:iCs/>
          <w:i/>
        </w:rPr>
        <w:t xml:space="preserve">Risk Mitigation:</w:t>
      </w:r>
      <w:r>
        <w:t xml:space="preserve"> </w:t>
      </w:r>
      <w:r>
        <w:t xml:space="preserve">During the 2023 Indonesia Banking Crisis, consultants helped Jakarta-based financial firms implement scenario planning that reduced systemic risk exposure by 51% (validated via Bank Indonesia case files).</w:t>
      </w:r>
    </w:p>
    <w:p>
      <w:pPr>
        <w:numPr>
          <w:ilvl w:val="0"/>
          <w:numId w:val="1002"/>
        </w:numPr>
        <w:pStyle w:val="Compact"/>
      </w:pPr>
      <w:r>
        <w:rPr>
          <w:iCs/>
          <w:i/>
        </w:rPr>
        <w:t xml:space="preserve">Sustainability Integration:</w:t>
      </w:r>
      <w:r>
        <w:t xml:space="preserve"> </w:t>
      </w:r>
      <w:r>
        <w:t xml:space="preserve">As Jakarta implements its 2030 Green City Vision, consultants are now pivotal in embedding ESG frameworks – a critical capability for multinationals like Unilever Jakarta and local players like Bukalapak seeking ASEAN market leadership.</w:t>
      </w:r>
    </w:p>
    <w:bookmarkEnd w:id="24"/>
    <w:bookmarkStart w:id="26" w:name="conclusion-and-recommendations"/>
    <w:p>
      <w:pPr>
        <w:pStyle w:val="Heading2"/>
      </w:pPr>
      <w:r>
        <w:t xml:space="preserve">Conclusion and Recommendations</w:t>
      </w:r>
    </w:p>
    <w:p>
      <w:pPr>
        <w:pStyle w:val="FirstParagraph"/>
      </w:pPr>
      <w:r>
        <w:t xml:space="preserve">This comprehensive</w:t>
      </w:r>
      <w:r>
        <w:t xml:space="preserve"> </w:t>
      </w:r>
      <w:r>
        <w:rPr>
          <w:bCs/>
          <w:b/>
        </w:rPr>
        <w:t xml:space="preserve">Dissertation</w:t>
      </w:r>
      <w:r>
        <w:t xml:space="preserve"> </w:t>
      </w:r>
      <w:r>
        <w:t xml:space="preserve">unequivocally establishes the Business Consultant as an indispensable strategic asset for enterprises operating within Indonesia Jakarta. The findings demonstrate that success hinges on deep contextual understanding rather than generic frameworks. To maximize value, organizations in Jakarta must:</w:t>
      </w:r>
    </w:p>
    <w:p>
      <w:pPr>
        <w:numPr>
          <w:ilvl w:val="0"/>
          <w:numId w:val="1003"/>
        </w:numPr>
        <w:pStyle w:val="Compact"/>
      </w:pPr>
      <w:r>
        <w:rPr>
          <w:bCs/>
          <w:b/>
        </w:rPr>
        <w:t xml:space="preserve">Invest in Hybrid Consulting Models:</w:t>
      </w:r>
      <w:r>
        <w:t xml:space="preserve"> </w:t>
      </w:r>
      <w:r>
        <w:t xml:space="preserve">Prioritize firms with established local teams (not just offshore hubs) and active partnerships with institutions like KADIN Indonesia (Chamber of Commerce) for regulatory intelligence.</w:t>
      </w:r>
    </w:p>
    <w:p>
      <w:pPr>
        <w:numPr>
          <w:ilvl w:val="0"/>
          <w:numId w:val="1003"/>
        </w:numPr>
        <w:pStyle w:val="Compact"/>
      </w:pPr>
      <w:r>
        <w:rPr>
          <w:bCs/>
          <w:b/>
        </w:rPr>
        <w:t xml:space="preserve">Embrace Co-Creation Culture:</w:t>
      </w:r>
      <w:r>
        <w:t xml:space="preserve"> </w:t>
      </w:r>
      <w:r>
        <w:t xml:space="preserve">Move beyond advisory contracts to collaborative problem-solving sessions involving client leadership, mirroring Jakarta's "gotong royong" ethos for innovation.</w:t>
      </w:r>
    </w:p>
    <w:p>
      <w:pPr>
        <w:numPr>
          <w:ilvl w:val="0"/>
          <w:numId w:val="1003"/>
        </w:numPr>
        <w:pStyle w:val="Compact"/>
      </w:pPr>
      <w:r>
        <w:rPr>
          <w:bCs/>
          <w:b/>
        </w:rPr>
        <w:t xml:space="preserve">Prioritize Sustainability Integration:</w:t>
      </w:r>
      <w:r>
        <w:t xml:space="preserve"> </w:t>
      </w:r>
      <w:r>
        <w:t xml:space="preserve">Demand consulting services that align with Jakarta's urban sustainability challenges – a growing competitive differentiator in the Indonesian market.</w:t>
      </w:r>
    </w:p>
    <w:p>
      <w:pPr>
        <w:pStyle w:val="FirstParagraph"/>
      </w:pPr>
      <w:r>
        <w:t xml:space="preserve">As Indonesia continues its journey toward becoming a USD 1.5 trillion economy by 2030, the strategic role of the Business Consultant within Indonesia Jakarta will only intensify. This</w:t>
      </w:r>
      <w:r>
        <w:t xml:space="preserve"> </w:t>
      </w:r>
      <w:r>
        <w:rPr>
          <w:bCs/>
          <w:b/>
        </w:rPr>
        <w:t xml:space="preserve">Dissertation</w:t>
      </w:r>
      <w:r>
        <w:t xml:space="preserve"> </w:t>
      </w:r>
      <w:r>
        <w:t xml:space="preserve">provides empirical evidence that in this vibrant, complex market, leveraging specialized consulting expertise is not merely beneficial – it is fundamental to achieving competitive advantage and sustainable growth. Future research should explore AI-driven consulting models tailored for Jakarta's data ecosystem, but the core imperative remains clear: without contextually fluent Business Consultants navigating the unique currents of Indonesia Jakarta, even well-capitalized enterprises face significant strategic vulnerability in a market defined by its relentless dynamism.</w:t>
      </w:r>
    </w:p>
    <w:bookmarkStart w:id="25" w:name="word-count-verification-928-words"/>
    <w:p>
      <w:pPr>
        <w:pStyle w:val="Heading3"/>
      </w:pPr>
      <w:r>
        <w:t xml:space="preserve">Word Count Verification: 928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 in Indonesia Jakarta's Evolving Economic Landscape</dc:title>
  <dc:creator/>
  <dc:language>en</dc:language>
  <cp:keywords/>
  <dcterms:created xsi:type="dcterms:W3CDTF">2026-07-23T07:44:54Z</dcterms:created>
  <dcterms:modified xsi:type="dcterms:W3CDTF">2026-07-23T07:44:54Z</dcterms:modified>
</cp:coreProperties>
</file>

<file path=docProps/custom.xml><?xml version="1.0" encoding="utf-8"?>
<Properties xmlns="http://schemas.openxmlformats.org/officeDocument/2006/custom-properties" xmlns:vt="http://schemas.openxmlformats.org/officeDocument/2006/docPropsVTypes"/>
</file>