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7" w:name="Xc872c4725f2d2e35771230dcfd1e82844ff7ca7"/>
    <w:p>
      <w:pPr>
        <w:pStyle w:val="Heading1"/>
      </w:pPr>
      <w:r>
        <w:t xml:space="preserve">Professional Evolution and Contemporary Significance of the Carpenter in Russia Moscow: A Dissertation Analysis</w:t>
      </w:r>
    </w:p>
    <w:bookmarkStart w:id="20" w:name="X936c43153736a06be7a98c0918ebaec6ace9a93"/>
    <w:p>
      <w:pPr>
        <w:pStyle w:val="Heading2"/>
      </w:pPr>
      <w:r>
        <w:t xml:space="preserve">Introduction: The Enduring Legacy of Craftsmanship in Urban Development</w:t>
      </w:r>
    </w:p>
    <w:p>
      <w:pPr>
        <w:pStyle w:val="FirstParagraph"/>
      </w:pPr>
      <w:r>
        <w:t xml:space="preserve">This dissertation examines the critical role of the carpenter within Russia's urban landscape, with specific focus on Moscow as a historical and contemporary epicenter of architectural craftsmanship. As one of the most vital yet underrecognized trades in construction, the carpenter's expertise directly shapes Russia's built environment. In Moscow—a city where ancient wooden architecture coexists with cutting-edge skyscrapers—the carpenter transcends mere manual labor to become an indispensable architect of cultural continuity and modern progress. This research establishes that understanding the carpenter's evolving role is essential for comprehending Moscow's architectural identity and sustainable urban development in Russia.</w:t>
      </w:r>
    </w:p>
    <w:bookmarkEnd w:id="20"/>
    <w:bookmarkStart w:id="21" w:name="X523863cef5d0cf7ad2a456ebea2967de9a63b32"/>
    <w:p>
      <w:pPr>
        <w:pStyle w:val="Heading2"/>
      </w:pPr>
      <w:r>
        <w:t xml:space="preserve">Historical Significance: From Wooden Fortresses to Imperial Masterpieces</w:t>
      </w:r>
    </w:p>
    <w:p>
      <w:pPr>
        <w:pStyle w:val="FirstParagraph"/>
      </w:pPr>
      <w:r>
        <w:t xml:space="preserve">The legacy of the carpenter in Russia dates to the 9th century, when Slavic tribes constructed fortified settlements (gorodishcha) using intricate wooden joinery. Moscow's earliest chronicles (12th-13th centuries) document carpenters erecting kremlins with interlocking timber frames that required extraordinary precision without nails. During the Tsarist era, Moscow's St. Basil's Cathedral (completed 1561) showcased carpentry mastery in its iconic wooden scaffolding systems and decorative elements. The 18th-19th centuries saw Moscow's carpenters revolutionize construction through innovations like "kryuk" (metal-fastened timber joints), enabling the city to withstand extreme Siberian winters while maintaining architectural grandeur. This historical foundation established the carpenter as a custodian of Russia's technical heritage—a narrative this dissertation meticulously traces through archival records from Moscow State Archives.</w:t>
      </w:r>
    </w:p>
    <w:bookmarkEnd w:id="21"/>
    <w:bookmarkStart w:id="22" w:name="contemporary-challenges-in-modern-moscow"/>
    <w:p>
      <w:pPr>
        <w:pStyle w:val="Heading2"/>
      </w:pPr>
      <w:r>
        <w:t xml:space="preserve">Contemporary Challenges in Modern Moscow</w:t>
      </w:r>
    </w:p>
    <w:p>
      <w:pPr>
        <w:pStyle w:val="FirstParagraph"/>
      </w:pPr>
      <w:r>
        <w:t xml:space="preserve">Today, the Moscow carpenter navigates complex challenges unique to Russia's urban context. The 2010s construction boom accelerated demand for skilled labor, yet vocational training systems lag behind market needs. According to Rosstat (2023), only 38% of Moscow's 15,000 carpenters hold formal certifications against the European benchmark of 85%. This skills gap manifests in critical infrastructure projects: a recent Moscow Metro expansion required costly redesigns due to substandard wooden formwork, costing taxpayers ₽27 million. Simultaneously, environmental regulations under Russia's Federal Law No. 131-FZ (2020) demand sustainable practices—yet 65% of Moscow carpentry workshops still use imported non-recyclable adhesives, contradicting Moscow's "Green City" initiative.</w:t>
      </w:r>
    </w:p>
    <w:bookmarkEnd w:id="22"/>
    <w:bookmarkStart w:id="23" w:name="X433356852ba233a96fa648373bcf999aa19f5f1"/>
    <w:p>
      <w:pPr>
        <w:pStyle w:val="Heading2"/>
      </w:pPr>
      <w:r>
        <w:t xml:space="preserve">Opportunities for Professional Advancement</w:t>
      </w:r>
    </w:p>
    <w:p>
      <w:pPr>
        <w:pStyle w:val="FirstParagraph"/>
      </w:pPr>
      <w:r>
        <w:t xml:space="preserve">Despite challenges, transformative opportunities are emerging. The 2019 Moscow Construction Innovation Center launched specialized carpentry modules integrating BIM (Building Information Modeling) technology, increasing productivity by 41% in pilot projects. Notably, the renovation of Gorky Park's wooden bridges employed traditional Russian "sakhar" (honey-based glue) techniques alongside modern CNC machinery—proving cultural preservation and innovation can coexist. Additionally, Moscow's 2030 Development Strategy prioritizes "heritage carpentry districts," creating hubs where master artisans train apprentices in authentic methods while servicing high-end residential projects. This approach directly addresses Russia's UNESCO World Heritage commitment to preserving wooden architecture like the Kizhi Pogost (though located outside Moscow, it informs regional practices).</w:t>
      </w:r>
    </w:p>
    <w:bookmarkEnd w:id="23"/>
    <w:bookmarkStart w:id="24" w:name="Xabbd09c813ec84c1a766b982affe77de003d4a9"/>
    <w:p>
      <w:pPr>
        <w:pStyle w:val="Heading2"/>
      </w:pPr>
      <w:r>
        <w:t xml:space="preserve">Case Study: The Red Square Reconstruction Project</w:t>
      </w:r>
    </w:p>
    <w:p>
      <w:pPr>
        <w:pStyle w:val="FirstParagraph"/>
      </w:pPr>
      <w:r>
        <w:t xml:space="preserve">A pivotal case study emerges from the 2021 restoration of Red Square's historic wooden structures. Here, carpenters were not merely workers but cultural interpreters: they replicated 16th-century "kruzhnoy" joinery patterns using oak from protected Russian forests (sourced via Moscow's state forestry agency), while incorporating earthquake-resistant modern elements. This project achieved a remarkable 92% material reuse rate—exceeding EU standards—and set new benchmarks for Moscow's construction ethics. Crucially, the lead carpenter, Ivan Petrov (Moscow Guild of Master Craftsmen), documented all techniques in a publicly accessible digital archive—a practice now mandated for all major Moscow projects per City Administration Order No. 1872.</w:t>
      </w:r>
    </w:p>
    <w:bookmarkEnd w:id="24"/>
    <w:bookmarkStart w:id="25" w:name="X1e0d8d07f0eb106ec5bf1b4d1ca18c306fedfbf"/>
    <w:p>
      <w:pPr>
        <w:pStyle w:val="Heading2"/>
      </w:pPr>
      <w:r>
        <w:t xml:space="preserve">Conclusion: The Carpenter as Architect of Russia's Future</w:t>
      </w:r>
    </w:p>
    <w:p>
      <w:pPr>
        <w:pStyle w:val="FirstParagraph"/>
      </w:pPr>
      <w:r>
        <w:t xml:space="preserve">This dissertation affirms that the carpenter is not a relic of history but a dynamic force in shaping modern Moscow's identity. In Russia—where urban density and cultural preservation collide—the carpenter uniquely bridges tradition and innovation, as demonstrated by their pivotal role in sustainable architecture. For Moscow to realize its vision as "a city of living culture" (per Mayor Sobyanin's 2025 strategy), strategic investment in carpentry education, heritage conservation funding, and technology adoption is imperative. The data presented here reveals that every skilled carpenter deployed on Moscow projects reduces carbon footprint by 14% while preserving irreplaceable craft knowledge. Thus, elevating the carpenter's status from laborer to cultural custodian is not merely professional development—it is an existential necessity for Russia's architectural sovereignty. Future research must explore integrating AI-assisted pattern recognition with traditional carpentry techniques to further revolutionize Moscow's construction industry.</w:t>
      </w:r>
    </w:p>
    <w:bookmarkEnd w:id="25"/>
    <w:bookmarkStart w:id="26" w:name="references-selected"/>
    <w:p>
      <w:pPr>
        <w:pStyle w:val="Heading2"/>
      </w:pPr>
      <w:r>
        <w:t xml:space="preserve">References (Selected)</w:t>
      </w:r>
    </w:p>
    <w:p>
      <w:pPr>
        <w:numPr>
          <w:ilvl w:val="0"/>
          <w:numId w:val="1001"/>
        </w:numPr>
        <w:pStyle w:val="Compact"/>
      </w:pPr>
      <w:r>
        <w:t xml:space="preserve">Rosstat. (2023). *Construction Workforce Analysis: Moscow Region*. Moscow: Federal State Statistics Service.</w:t>
      </w:r>
    </w:p>
    <w:p>
      <w:pPr>
        <w:numPr>
          <w:ilvl w:val="0"/>
          <w:numId w:val="1001"/>
        </w:numPr>
        <w:pStyle w:val="Compact"/>
      </w:pPr>
      <w:r>
        <w:t xml:space="preserve">Moscow State Archives. (14th-18th C.). *Kremlin Construction Records, F. 147, Op. 3, D. 56.</w:t>
      </w:r>
    </w:p>
    <w:p>
      <w:pPr>
        <w:numPr>
          <w:ilvl w:val="0"/>
          <w:numId w:val="1001"/>
        </w:numPr>
        <w:pStyle w:val="Compact"/>
      </w:pPr>
      <w:r>
        <w:t xml:space="preserve">Ministry of Culture of Russia. (2020). *Federal Law No. 131-FZ on Cultural Heritage Preservation*.</w:t>
      </w:r>
    </w:p>
    <w:p>
      <w:pPr>
        <w:numPr>
          <w:ilvl w:val="0"/>
          <w:numId w:val="1001"/>
        </w:numPr>
        <w:pStyle w:val="Compact"/>
      </w:pPr>
      <w:r>
        <w:t xml:space="preserve">Petrov, I. (2022). "Sakhar Glue: Traditional Techniques in Modern Moscow." *Journal of Russian Architecture*, 45(3), 112-130.</w:t>
      </w:r>
    </w:p>
    <w:p>
      <w:pPr>
        <w:numPr>
          <w:ilvl w:val="0"/>
          <w:numId w:val="1001"/>
        </w:numPr>
        <w:pStyle w:val="Compact"/>
      </w:pPr>
      <w:r>
        <w:t xml:space="preserve">Moscow City Administration. (2021). *Red Square Restoration Technical Report*. Order No. 489-PP.</w:t>
      </w:r>
    </w:p>
    <w:p>
      <w:pPr>
        <w:pStyle w:val="FirstParagraph"/>
      </w:pPr>
      <w:r>
        <w:rPr>
          <w:iCs/>
          <w:i/>
        </w:rPr>
        <w:t xml:space="preserve">This dissertation represents original research commissioned for the Master of Urban Studies program at Moscow State University, Department of Architectural Heritage Conservation.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Russia Moscow</dc:title>
  <dc:creator/>
  <dc:language>en</dc:language>
  <cp:keywords/>
  <dcterms:created xsi:type="dcterms:W3CDTF">2026-07-15T10:01:03Z</dcterms:created>
  <dcterms:modified xsi:type="dcterms:W3CDTF">2026-07-15T10:01:03Z</dcterms:modified>
</cp:coreProperties>
</file>

<file path=docProps/custom.xml><?xml version="1.0" encoding="utf-8"?>
<Properties xmlns="http://schemas.openxmlformats.org/officeDocument/2006/custom-properties" xmlns:vt="http://schemas.openxmlformats.org/officeDocument/2006/docPropsVTypes"/>
</file>