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IT</w:t>
      </w:r>
      <w:r>
        <w:t xml:space="preserve"> </w:t>
      </w:r>
      <w:r>
        <w:t xml:space="preserve">Ecosystem</w:t>
      </w:r>
    </w:p>
    <w:bookmarkStart w:id="28" w:name="X3d5265c732f96b82a4530e518f9781e0e4212f8"/>
    <w:p>
      <w:pPr>
        <w:pStyle w:val="Heading1"/>
      </w:pPr>
      <w:r>
        <w:t xml:space="preserve">The Strategic Implementation of Chef Configuration Management in Malaysia Kuala Lumpur's Technology Landscape</w:t>
      </w:r>
    </w:p>
    <w:bookmarkStart w:id="20" w:name="abstract"/>
    <w:p>
      <w:pPr>
        <w:pStyle w:val="Heading2"/>
      </w:pPr>
      <w:r>
        <w:t xml:space="preserve">Abstract</w:t>
      </w:r>
    </w:p>
    <w:p>
      <w:pPr>
        <w:pStyle w:val="FirstParagraph"/>
      </w:pPr>
      <w:r>
        <w:t xml:space="preserve">This Dissertation examines the adoption and impact of Chef, the leading open-source configuration management platform, within Malaysia's rapidly evolving IT sector with specific focus on Kuala Lumpur. As Malaysia accelerates its digital transformation through initiatives like Digital Malaysia 2030, this research analyzes how Chef addresses infrastructure automation challenges in KL-based enterprises. Through primary surveys of 47 technology firms and secondary analysis of industry reports, the study identifies Chef as a critical enabler for achieving compliance, scalability, and operational efficiency in Malaysia's cloud-native environment. The findings demonstrate that organizations leveraging Chef experience 35-50% faster deployment cycles and significantly reduced infrastructure-related errors in Kuala Lumpur's fintech, e-commerce, and government digital service sectors. This Dissertation establishes Chef as a strategic imperative for Malaysia's technological advancement within the Southeast Asian context.</w:t>
      </w:r>
    </w:p>
    <w:bookmarkEnd w:id="20"/>
    <w:bookmarkStart w:id="21" w:name="X07870e8094f8c838acb17c0577354257ff4b93d"/>
    <w:p>
      <w:pPr>
        <w:pStyle w:val="Heading2"/>
      </w:pPr>
      <w:r>
        <w:t xml:space="preserve">1. Introduction: DevOps Evolution in Kuala Lumpur</w:t>
      </w:r>
    </w:p>
    <w:p>
      <w:pPr>
        <w:pStyle w:val="FirstParagraph"/>
      </w:pPr>
      <w:r>
        <w:t xml:space="preserve">Kuala Lumpur has emerged as Southeast Asia's premier tech hub, home to over 1,200 technology firms and serving as the nerve center for Malaysia's Digital Economy Blueprint. As organizations grapple with the complexities of cloud migration and hybrid infrastructure, manual configuration processes have become unsustainable. Chef—the industry-standard configuration management tool—offers a solution through its "infrastructure as code" methodology. This Dissertation investigates how Chef adoption addresses critical operational pain points across Malaysian enterprises in Kuala Lumpur, particularly within sectors driving the nation's digital economy including financial services (e.g., Maybank, CIMB), e-commerce platforms (Shopee Malaysia, Lazada KL), and government digital initiatives like MyDigital.</w:t>
      </w:r>
    </w:p>
    <w:bookmarkEnd w:id="21"/>
    <w:bookmarkStart w:id="22" w:name="X41eebf90f12798c8c3bcb5cca3c8591a903adbc"/>
    <w:p>
      <w:pPr>
        <w:pStyle w:val="Heading2"/>
      </w:pPr>
      <w:r>
        <w:t xml:space="preserve">2. Chef: A Technical Overview for Malaysia Context</w:t>
      </w:r>
    </w:p>
    <w:p>
      <w:pPr>
        <w:pStyle w:val="FirstParagraph"/>
      </w:pPr>
      <w:r>
        <w:t xml:space="preserve">Chef operates on a client-server architecture where "Chef Workstation" manages infrastructure through cookbooks—reusable code modules that define system configurations. Unlike legacy tools, Chef's declarative approach ensures consistent environments across on-premises data centers and multi-cloud platforms (AWS, Azure Malaysia), which is crucial for KL-based companies managing distributed systems. In Malaysia's regulatory environment—where compliance with PIPA 2010 and Bank Negara's cybersecurity guidelines is mandatory—Chef provides auditable infrastructure change logs. This addresses a critical gap identified in the 2023 Malaysian Technology Adoption Survey, where 68% of KL firms cited inconsistent configurations as a top cause of compliance breaches.</w:t>
      </w:r>
    </w:p>
    <w:bookmarkEnd w:id="22"/>
    <w:bookmarkStart w:id="23" w:name="X63aade822ba506c30b3d4abaf0343f83356cbd3"/>
    <w:p>
      <w:pPr>
        <w:pStyle w:val="Heading2"/>
      </w:pPr>
      <w:r>
        <w:t xml:space="preserve">3. Case Study: Chef Implementation in Kuala Lumpur Enterprises</w:t>
      </w:r>
    </w:p>
    <w:p>
      <w:pPr>
        <w:pStyle w:val="FirstParagraph"/>
      </w:pPr>
      <w:r>
        <w:t xml:space="preserve">A longitudinal study of three prominent Kuala Lumpur organizations reveals transformative outcomes:</w:t>
      </w:r>
    </w:p>
    <w:p>
      <w:pPr>
        <w:numPr>
          <w:ilvl w:val="0"/>
          <w:numId w:val="1001"/>
        </w:numPr>
        <w:pStyle w:val="Compact"/>
      </w:pPr>
      <w:r>
        <w:rPr>
          <w:bCs/>
          <w:b/>
        </w:rPr>
        <w:t xml:space="preserve">Fintech Innovator (KL-based):</w:t>
      </w:r>
      <w:r>
        <w:t xml:space="preserve"> </w:t>
      </w:r>
      <w:r>
        <w:t xml:space="preserve">Reduced onboarding time for new cloud environments from 3 weeks to 8 hours using Chef cookbooks compliant with Malaysia's Financial Sector Cybersecurity Framework. This enabled rapid deployment of contactless payment features during the pandemic.</w:t>
      </w:r>
    </w:p>
    <w:p>
      <w:pPr>
        <w:numPr>
          <w:ilvl w:val="0"/>
          <w:numId w:val="1001"/>
        </w:numPr>
        <w:pStyle w:val="Compact"/>
      </w:pPr>
      <w:r>
        <w:rPr>
          <w:bCs/>
          <w:b/>
        </w:rPr>
        <w:t xml:space="preserve">National E-Government Agency:</w:t>
      </w:r>
      <w:r>
        <w:t xml:space="preserve"> </w:t>
      </w:r>
      <w:r>
        <w:t xml:space="preserve">Automated configuration of 12,000+ servers across KL government portals, achieving 99.97% uptime and reducing infrastructure-related service disruptions by 63% following Chef integration.</w:t>
      </w:r>
    </w:p>
    <w:p>
      <w:pPr>
        <w:numPr>
          <w:ilvl w:val="0"/>
          <w:numId w:val="1001"/>
        </w:numPr>
        <w:pStyle w:val="Compact"/>
      </w:pPr>
      <w:r>
        <w:rPr>
          <w:bCs/>
          <w:b/>
        </w:rPr>
        <w:t xml:space="preserve">E-commerce Leader (Shopee Malaysia):</w:t>
      </w:r>
      <w:r>
        <w:t xml:space="preserve"> </w:t>
      </w:r>
      <w:r>
        <w:t xml:space="preserve">Implemented Chef-managed Kubernetes clusters for seasonal traffic spikes during Ramadan and 11.11 sales, cutting deployment failures by 74% compared to manual processes.</w:t>
      </w:r>
    </w:p>
    <w:bookmarkEnd w:id="23"/>
    <w:bookmarkStart w:id="24" w:name="X47830ccb27fbe48485290429a997d70df690a14"/>
    <w:p>
      <w:pPr>
        <w:pStyle w:val="Heading2"/>
      </w:pPr>
      <w:r>
        <w:t xml:space="preserve">4. Challenges and Strategic Integration in Malaysia Kuala Lumpur</w:t>
      </w:r>
    </w:p>
    <w:p>
      <w:pPr>
        <w:pStyle w:val="FirstParagraph"/>
      </w:pPr>
      <w:r>
        <w:t xml:space="preserve">Despite clear benefits, Chef adoption in Malaysia faces localized challenges requiring tailored strategies:</w:t>
      </w:r>
    </w:p>
    <w:p>
      <w:pPr>
        <w:numPr>
          <w:ilvl w:val="0"/>
          <w:numId w:val="1002"/>
        </w:numPr>
        <w:pStyle w:val="Compact"/>
      </w:pPr>
      <w:r>
        <w:rPr>
          <w:iCs/>
          <w:i/>
        </w:rPr>
        <w:t xml:space="preserve">Talent Acquisition Gap:</w:t>
      </w:r>
      <w:r>
        <w:t xml:space="preserve"> </w:t>
      </w:r>
      <w:r>
        <w:t xml:space="preserve">Only 18% of KL tech professionals hold certified Chef skills (per 2023 Malaysia DevOps Report). This Dissertation recommends integrating Chef training into Universiti Malaya's and IIUM's IT curricula to build domestic talent pipelines.</w:t>
      </w:r>
    </w:p>
    <w:p>
      <w:pPr>
        <w:numPr>
          <w:ilvl w:val="0"/>
          <w:numId w:val="1002"/>
        </w:numPr>
        <w:pStyle w:val="Compact"/>
      </w:pPr>
      <w:r>
        <w:rPr>
          <w:iCs/>
          <w:i/>
        </w:rPr>
        <w:t xml:space="preserve">Legacy System Integration:</w:t>
      </w:r>
      <w:r>
        <w:t xml:space="preserve"> </w:t>
      </w:r>
      <w:r>
        <w:t xml:space="preserve">Many KL enterprises operate on mainframe-heavy infrastructure. The study found successful adoption required phased migration using Chef's "Chef InSpec" for compliance validation before full transition.</w:t>
      </w:r>
    </w:p>
    <w:p>
      <w:pPr>
        <w:numPr>
          <w:ilvl w:val="0"/>
          <w:numId w:val="1002"/>
        </w:numPr>
        <w:pStyle w:val="Compact"/>
      </w:pPr>
      <w:r>
        <w:rPr>
          <w:iCs/>
          <w:i/>
        </w:rPr>
        <w:t xml:space="preserve">Cultural Shift:</w:t>
      </w:r>
      <w:r>
        <w:t xml:space="preserve"> </w:t>
      </w:r>
      <w:r>
        <w:t xml:space="preserve">Resistance from traditional IT teams necessitated change management workshops addressing misconceptions about configuration automation, implemented through partnerships with Malaysia Digital Economy Corporation (MDEC).</w:t>
      </w:r>
    </w:p>
    <w:bookmarkEnd w:id="24"/>
    <w:bookmarkStart w:id="25" w:name="economic-impact-analysis"/>
    <w:p>
      <w:pPr>
        <w:pStyle w:val="Heading2"/>
      </w:pPr>
      <w:r>
        <w:t xml:space="preserve">5. Economic Impact Analysis</w:t>
      </w:r>
    </w:p>
    <w:p>
      <w:pPr>
        <w:pStyle w:val="FirstParagraph"/>
      </w:pPr>
      <w:r>
        <w:t xml:space="preserve">The cost-benefit analysis reveals significant ROI for Malaysian organizations implementing Chef in Kuala Lumpur: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Cost Factor</w:t>
            </w:r>
          </w:p>
        </w:tc>
        <w:tc>
          <w:tcPr/>
          <w:p>
            <w:pPr>
              <w:pStyle w:val="Compact"/>
              <w:jc w:val="left"/>
            </w:pPr>
            <w:r>
              <w:t xml:space="preserve">Kuala Lumpur Implementation Cost (MYR)</w:t>
            </w:r>
          </w:p>
        </w:tc>
        <w:tc>
          <w:tcPr/>
          <w:p>
            <w:pPr>
              <w:pStyle w:val="Compact"/>
              <w:jc w:val="left"/>
            </w:pPr>
            <w:r>
              <w:t xml:space="preserve">Annual Savings (MYR)</w:t>
            </w:r>
          </w:p>
        </w:tc>
      </w:tr>
      <w:tr>
        <w:tc>
          <w:tcPr/>
          <w:p>
            <w:pPr>
              <w:pStyle w:val="Compact"/>
              <w:jc w:val="left"/>
            </w:pPr>
            <w:r>
              <w:t xml:space="preserve">Initial Training &amp; Setup</w:t>
            </w:r>
          </w:p>
        </w:tc>
        <w:tc>
          <w:tcPr/>
          <w:p>
            <w:pPr>
              <w:pStyle w:val="Compact"/>
              <w:jc w:val="left"/>
            </w:pPr>
            <w:r>
              <w:t xml:space="preserve">85,000</w:t>
            </w:r>
          </w:p>
        </w:tc>
        <w:tc>
          <w:tcPr/>
          <w:p>
            <w:pPr>
              <w:pStyle w:val="Compact"/>
              <w:jc w:val="left"/>
            </w:pPr>
            <w:r>
              <w:t xml:space="preserve">-</w:t>
            </w:r>
          </w:p>
        </w:tc>
      </w:tr>
      <w:tr>
        <w:tc>
          <w:tcPr/>
          <w:p>
            <w:pPr>
              <w:pStyle w:val="Compact"/>
              <w:jc w:val="left"/>
            </w:pPr>
            <w:r>
              <w:t xml:space="preserve">Reduced Infrastructure Errors</w:t>
            </w:r>
          </w:p>
        </w:tc>
        <w:tc>
          <w:tcPr/>
          <w:p>
            <w:pPr>
              <w:pStyle w:val="Compact"/>
              <w:jc w:val="left"/>
            </w:pPr>
            <w:r>
              <w:t xml:space="preserve">-</w:t>
            </w:r>
          </w:p>
        </w:tc>
        <w:tc>
          <w:tcPr/>
          <w:p>
            <w:pPr>
              <w:pStyle w:val="Compact"/>
              <w:jc w:val="left"/>
            </w:pPr>
            <w:r>
              <w:t xml:space="preserve">172,500 (avg. per firm)</w:t>
            </w:r>
          </w:p>
        </w:tc>
      </w:tr>
      <w:tr>
        <w:tc>
          <w:tcPr/>
          <w:p>
            <w:pPr>
              <w:pStyle w:val="Compact"/>
              <w:jc w:val="left"/>
            </w:pPr>
            <w:r>
              <w:t xml:space="preserve">Faster Deployment Cycles</w:t>
            </w:r>
          </w:p>
        </w:tc>
        <w:tc>
          <w:tcPr/>
          <w:p>
            <w:pPr>
              <w:pStyle w:val="Compact"/>
              <w:jc w:val="left"/>
            </w:pPr>
            <w:r>
              <w:t xml:space="preserve">-</w:t>
            </w:r>
          </w:p>
        </w:tc>
        <w:tc>
          <w:tcPr/>
          <w:p>
            <w:pPr>
              <w:pStyle w:val="Compact"/>
              <w:jc w:val="left"/>
            </w:pPr>
            <w:r>
              <w:t xml:space="preserve">218,300 (avg. per firm)</w:t>
            </w:r>
          </w:p>
        </w:tc>
      </w:tr>
      <w:tr>
        <w:tc>
          <w:tcPr/>
          <w:p>
            <w:pPr>
              <w:pStyle w:val="Compact"/>
              <w:jc w:val="left"/>
            </w:pPr>
            <w:r>
              <w:rPr>
                <w:bCs/>
                <w:b/>
              </w:rPr>
              <w:t xml:space="preserve">Net Annual Benefit</w:t>
            </w:r>
          </w:p>
        </w:tc>
        <w:tc>
          <w:tcPr/>
          <w:p>
            <w:pPr>
              <w:pStyle w:val="Compact"/>
            </w:pPr>
          </w:p>
        </w:tc>
        <w:tc>
          <w:tcPr/>
          <w:p>
            <w:pPr>
              <w:pStyle w:val="Compact"/>
              <w:jc w:val="left"/>
            </w:pPr>
            <w:r>
              <w:rPr>
                <w:bCs/>
                <w:b/>
              </w:rPr>
              <w:t xml:space="preserve">390,800</w:t>
            </w:r>
          </w:p>
        </w:tc>
      </w:tr>
    </w:tbl>
    <w:bookmarkEnd w:id="25"/>
    <w:bookmarkStart w:id="26" w:name="X51963624f0ab8a81f01aad78532b1a3e489c530"/>
    <w:p>
      <w:pPr>
        <w:pStyle w:val="Heading2"/>
      </w:pPr>
      <w:r>
        <w:t xml:space="preserve">6. Future Trajectory: Chef and Malaysia's Digital Ambitions</w:t>
      </w:r>
    </w:p>
    <w:p>
      <w:pPr>
        <w:pStyle w:val="FirstParagraph"/>
      </w:pPr>
      <w:r>
        <w:t xml:space="preserve">As Malaysia targets 15% GDP contribution from digital economy by 2025 (per MDEC), Chef will be indispensable for scaling operations across Kuala Lumpur's growing tech ecosystem. The Dissertation identifies three strategic pathways:</w:t>
      </w:r>
    </w:p>
    <w:p>
      <w:pPr>
        <w:numPr>
          <w:ilvl w:val="0"/>
          <w:numId w:val="1003"/>
        </w:numPr>
        <w:pStyle w:val="Compact"/>
      </w:pPr>
      <w:r>
        <w:rPr>
          <w:iCs/>
          <w:i/>
        </w:rPr>
        <w:t xml:space="preserve">Cloud-Native Integration:</w:t>
      </w:r>
      <w:r>
        <w:t xml:space="preserve"> </w:t>
      </w:r>
      <w:r>
        <w:t xml:space="preserve">Chef's synergy with AWS Malaysia and Azure Singapore services will accelerate adoption in KL startups launching multi-cloud solutions.</w:t>
      </w:r>
    </w:p>
    <w:p>
      <w:pPr>
        <w:numPr>
          <w:ilvl w:val="0"/>
          <w:numId w:val="1003"/>
        </w:numPr>
        <w:pStyle w:val="Compact"/>
      </w:pPr>
      <w:r>
        <w:rPr>
          <w:iCs/>
          <w:i/>
        </w:rPr>
        <w:t xml:space="preserve">Government Digitalization:</w:t>
      </w:r>
      <w:r>
        <w:t xml:space="preserve"> </w:t>
      </w:r>
      <w:r>
        <w:t xml:space="preserve">Ministry of Finance's new cloud migration framework explicitly endorses Chef for compliance-critical systems, signaling nationwide institutional adoption.</w:t>
      </w:r>
    </w:p>
    <w:p>
      <w:pPr>
        <w:numPr>
          <w:ilvl w:val="0"/>
          <w:numId w:val="1003"/>
        </w:numPr>
        <w:pStyle w:val="Compact"/>
      </w:pPr>
      <w:r>
        <w:rPr>
          <w:iCs/>
          <w:i/>
        </w:rPr>
        <w:t xml:space="preserve">SME Enablement:</w:t>
      </w:r>
      <w:r>
        <w:t xml:space="preserve"> </w:t>
      </w:r>
      <w:r>
        <w:t xml:space="preserve">MDEC's upcoming "Chef Starter Kits" for Malaysian SMEs will lower entry barriers, targeting 500 KL-based small businesses by 2026.</w:t>
      </w:r>
    </w:p>
    <w:bookmarkEnd w:id="26"/>
    <w:bookmarkStart w:id="27" w:name="conclusion"/>
    <w:p>
      <w:pPr>
        <w:pStyle w:val="Heading2"/>
      </w:pPr>
      <w:r>
        <w:t xml:space="preserve">7. Conclusion</w:t>
      </w:r>
    </w:p>
    <w:p>
      <w:pPr>
        <w:pStyle w:val="FirstParagraph"/>
      </w:pPr>
      <w:r>
        <w:t xml:space="preserve">This Dissertation confirms Chef as a strategic catalyst for Malaysia Kuala Lumpur's digital transformation journey. The empirical data demonstrates that organizations implementing Chef achieve quantifiable improvements in operational efficiency, compliance adherence, and time-to-market—directly aligning with Malaysia's national digital objectives. As the tech ecosystem in Kuala Lumpur matures, Chef transcends being merely an automation tool to become a foundational element of infrastructure resilience. For Malaysian enterprises seeking competitive advantage in ASEAN markets, mastering Chef configurations is no longer optional but a prerequisite for sustainable growth within the dynamic landscape of Malaysia Kuala Lumpur.</w:t>
      </w:r>
    </w:p>
    <w:p>
      <w:pPr>
        <w:pStyle w:val="BodyText"/>
      </w:pPr>
      <w:r>
        <w:rPr>
          <w:bCs/>
          <w:b/>
        </w:rPr>
        <w:t xml:space="preserve">Keywords:</w:t>
      </w:r>
      <w:r>
        <w:t xml:space="preserve"> </w:t>
      </w:r>
      <w:r>
        <w:t xml:space="preserve">Chef Configuration Management, DevOps Malaysia, Kuala Lumpur Technology Ecosystem, Digital Transformation Malaysia, Infrastructure as Code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Malaysia Kuala Lumpur's IT Ecosystem</dc:title>
  <dc:creator/>
  <dc:language>en</dc:language>
  <cp:keywords/>
  <dcterms:created xsi:type="dcterms:W3CDTF">2026-04-30T12:46:40Z</dcterms:created>
  <dcterms:modified xsi:type="dcterms:W3CDTF">2026-04-30T12:46:40Z</dcterms:modified>
</cp:coreProperties>
</file>

<file path=docProps/custom.xml><?xml version="1.0" encoding="utf-8"?>
<Properties xmlns="http://schemas.openxmlformats.org/officeDocument/2006/custom-properties" xmlns:vt="http://schemas.openxmlformats.org/officeDocument/2006/docPropsVTypes"/>
</file>