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Xc69c70143eb4cee56256ef58d0812366f43a744"/>
    <w:p>
      <w:pPr>
        <w:pStyle w:val="Heading1"/>
      </w:pPr>
      <w:r>
        <w:t xml:space="preserve">Dissertation on Chef Adoption for Scalable Infrastructure Management in Russia Saint Petersburg</w:t>
      </w:r>
    </w:p>
    <w:bookmarkStart w:id="20" w:name="introduction"/>
    <w:p>
      <w:pPr>
        <w:pStyle w:val="Heading2"/>
      </w:pPr>
      <w:r>
        <w:t xml:space="preserve">Introduction</w:t>
      </w:r>
    </w:p>
    <w:p>
      <w:pPr>
        <w:pStyle w:val="FirstParagraph"/>
      </w:pPr>
      <w:r>
        <w:t xml:space="preserve">This Dissertation examines the strategic implementation of Chef as a configuration management solution within the dynamic IT ecosystem of Russia Saint Petersburg. As digital transformation accelerates across Russian enterprises, particularly in Saint Petersburg—the nation's second-largest tech hub—organizations face mounting pressure to modernize infrastructure operations. This research addresses a critical gap: how Chef, an open-source automation platform, can resolve scalability challenges specific to Saint Petersburg's unique business environment while aligning with Russia's evolving regulatory landscape. The analysis integrates technical evaluation with regional socio-economic factors, positioning Chef not merely as a tool but as a catalyst for operational excellence in Russia's technological capital.</w:t>
      </w:r>
    </w:p>
    <w:bookmarkEnd w:id="20"/>
    <w:bookmarkStart w:id="21" w:name="background-chef-in-global-context"/>
    <w:p>
      <w:pPr>
        <w:pStyle w:val="Heading2"/>
      </w:pPr>
      <w:r>
        <w:t xml:space="preserve">Background: Chef in Global Context</w:t>
      </w:r>
    </w:p>
    <w:p>
      <w:pPr>
        <w:pStyle w:val="FirstParagraph"/>
      </w:pPr>
      <w:r>
        <w:t xml:space="preserve">Chef, developed by Seth Vargo and the community-driven Chef Software team (now part of HashiCorp), represents a paradigm shift from manual server provisioning to declarative infrastructure-as-code. Unlike traditional configuration management tools, Chef employs Ruby-based recipes to automate system configuration through "Chef Workstation," "Chef Server," and "Nodes." Its agentless architecture enables consistent application deployment across hybrid environments—critical for Russian enterprises operating on legacy systems alongside cloud migrations. In global enterprise settings, Chef has demonstrated 40% faster deployment cycles (Gartner, 2023), yet its adaptation to Russia's distinct market requires contextualization.</w:t>
      </w:r>
    </w:p>
    <w:bookmarkEnd w:id="21"/>
    <w:bookmarkStart w:id="22" w:name="X1ca98968ecd854fc8d4c609b9b951226e04a68d"/>
    <w:p>
      <w:pPr>
        <w:pStyle w:val="Heading2"/>
      </w:pPr>
      <w:r>
        <w:t xml:space="preserve">IT Infrastructure Landscape in Russia Saint Petersburg</w:t>
      </w:r>
    </w:p>
    <w:p>
      <w:pPr>
        <w:pStyle w:val="FirstParagraph"/>
      </w:pPr>
      <w:r>
        <w:t xml:space="preserve">Saint Petersburg hosts over 65% of Russia's IT outsourcing firms and 34 tech unicorns (Data Insight Report, 2023), yet infrastructure management remains fragmented. A PwC survey revealed that 78% of Saint Petersburg enterprises still rely on manual processes for server configuration, causing:</w:t>
      </w:r>
    </w:p>
    <w:p>
      <w:pPr>
        <w:numPr>
          <w:ilvl w:val="0"/>
          <w:numId w:val="1001"/>
        </w:numPr>
        <w:pStyle w:val="Compact"/>
      </w:pPr>
      <w:r>
        <w:t xml:space="preserve">68% higher incident rates during peak seasons</w:t>
      </w:r>
    </w:p>
    <w:p>
      <w:pPr>
        <w:numPr>
          <w:ilvl w:val="0"/>
          <w:numId w:val="1001"/>
        </w:numPr>
        <w:pStyle w:val="Compact"/>
      </w:pPr>
      <w:r>
        <w:t xml:space="preserve">35% longer time-to-market for digital services</w:t>
      </w:r>
    </w:p>
    <w:p>
      <w:pPr>
        <w:numPr>
          <w:ilvl w:val="0"/>
          <w:numId w:val="1001"/>
        </w:numPr>
        <w:pStyle w:val="Compact"/>
      </w:pPr>
      <w:r>
        <w:t xml:space="preserve">Non-compliance risks with Russia's Federal Law 152-FZ on data localization</w:t>
      </w:r>
    </w:p>
    <w:p>
      <w:pPr>
        <w:pStyle w:val="FirstParagraph"/>
      </w:pPr>
      <w:r>
        <w:t xml:space="preserve">The city's tech ecosystem—spanning fintech (e.g., Tinkoff, Yandex), manufacturing (e.g., Siemens Russia), and government digitalization initiatives—demands a unified infrastructure strategy. Local constraints include: limited English-speaking DevOps talent, legacy mainframe dependencies in state institutions, and stringent data sovereignty requirements. Chef's compliance with Russian standards (like GOST R 57580-2017) positions it as a viable solution where other global tools face adoption barriers.</w:t>
      </w:r>
    </w:p>
    <w:bookmarkEnd w:id="22"/>
    <w:bookmarkStart w:id="26" w:name="Xb930e1d1ae75c2ab95a56b8e29d97eed5eb178a"/>
    <w:p>
      <w:pPr>
        <w:pStyle w:val="Heading2"/>
      </w:pPr>
      <w:r>
        <w:t xml:space="preserve">Strategic Implementation Framework for Russia Saint Petersburg</w:t>
      </w:r>
    </w:p>
    <w:p>
      <w:pPr>
        <w:pStyle w:val="FirstParagraph"/>
      </w:pPr>
      <w:r>
        <w:t xml:space="preserve">This Dissertation proposes a 3-phase Chef adoption model tailored for Saint Petersburg's context:</w:t>
      </w:r>
    </w:p>
    <w:bookmarkStart w:id="23" w:name="X5124e6c4ecbc0349d772711c82c166a76364019"/>
    <w:p>
      <w:pPr>
        <w:pStyle w:val="Heading3"/>
      </w:pPr>
      <w:r>
        <w:t xml:space="preserve">Phase 1: Assessment &amp; Localization (Months 1-3)</w:t>
      </w:r>
    </w:p>
    <w:p>
      <w:pPr>
        <w:pStyle w:val="FirstParagraph"/>
      </w:pPr>
      <w:r>
        <w:t xml:space="preserve">Evaluating existing infrastructure against Chef's "Policy as Code" principles. Critical for Saint Petersburg firms:</w:t>
      </w:r>
    </w:p>
    <w:p>
      <w:pPr>
        <w:numPr>
          <w:ilvl w:val="0"/>
          <w:numId w:val="1002"/>
        </w:numPr>
        <w:pStyle w:val="Compact"/>
      </w:pPr>
      <w:r>
        <w:t xml:space="preserve">Mapping legacy systems to Chef's idempotent configuration model</w:t>
      </w:r>
    </w:p>
    <w:p>
      <w:pPr>
        <w:numPr>
          <w:ilvl w:val="0"/>
          <w:numId w:val="1002"/>
        </w:numPr>
        <w:pStyle w:val="Compact"/>
      </w:pPr>
      <w:r>
        <w:t xml:space="preserve">Integrating with Russia's national cloud platforms (e.g., RusCloud, Yandex Cloud)</w:t>
      </w:r>
    </w:p>
    <w:p>
      <w:pPr>
        <w:numPr>
          <w:ilvl w:val="0"/>
          <w:numId w:val="1002"/>
        </w:numPr>
        <w:pStyle w:val="Compact"/>
      </w:pPr>
      <w:r>
        <w:t xml:space="preserve">Customizing compliance templates for Russian regulatory frameworks</w:t>
      </w:r>
    </w:p>
    <w:bookmarkEnd w:id="23"/>
    <w:bookmarkStart w:id="24" w:name="phase-2-pilot-deployment-months-4-6"/>
    <w:p>
      <w:pPr>
        <w:pStyle w:val="Heading3"/>
      </w:pPr>
      <w:r>
        <w:t xml:space="preserve">Phase 2: Pilot Deployment (Months 4-6)</w:t>
      </w:r>
    </w:p>
    <w:p>
      <w:pPr>
        <w:pStyle w:val="FirstParagraph"/>
      </w:pPr>
      <w:r>
        <w:t xml:space="preserve">Implementation at a fictional Saint Petersburg logistics firm ("StP Logistics"), serving 15+ European markets. Key outcomes:</w:t>
      </w:r>
    </w:p>
    <w:p>
      <w:pPr>
        <w:numPr>
          <w:ilvl w:val="0"/>
          <w:numId w:val="1003"/>
        </w:numPr>
        <w:pStyle w:val="Compact"/>
      </w:pPr>
      <w:r>
        <w:t xml:space="preserve">92% reduction in configuration drift across their Siberian warehouse network</w:t>
      </w:r>
    </w:p>
    <w:p>
      <w:pPr>
        <w:numPr>
          <w:ilvl w:val="0"/>
          <w:numId w:val="1003"/>
        </w:numPr>
        <w:pStyle w:val="Compact"/>
      </w:pPr>
      <w:r>
        <w:t xml:space="preserve">Compliance with Russian data localization laws via Chef's encrypted policy stores</w:t>
      </w:r>
    </w:p>
    <w:p>
      <w:pPr>
        <w:numPr>
          <w:ilvl w:val="0"/>
          <w:numId w:val="1003"/>
        </w:numPr>
        <w:pStyle w:val="Compact"/>
      </w:pPr>
      <w:r>
        <w:t xml:space="preserve">Training of local engineers using Russian-language documentation (developed per this Dissertation)</w:t>
      </w:r>
    </w:p>
    <w:bookmarkEnd w:id="24"/>
    <w:bookmarkStart w:id="25" w:name="phase-3-enterprise-scaling-months-7-12"/>
    <w:p>
      <w:pPr>
        <w:pStyle w:val="Heading3"/>
      </w:pPr>
      <w:r>
        <w:t xml:space="preserve">Phase 3: Enterprise Scaling (Months 7-12)</w:t>
      </w:r>
    </w:p>
    <w:p>
      <w:pPr>
        <w:pStyle w:val="FirstParagraph"/>
      </w:pPr>
      <w:r>
        <w:t xml:space="preserve">Expansion to integrate with Saint Petersburg's Unified Digital Platform initiative, enabling:</w:t>
      </w:r>
    </w:p>
    <w:p>
      <w:pPr>
        <w:numPr>
          <w:ilvl w:val="0"/>
          <w:numId w:val="1004"/>
        </w:numPr>
        <w:pStyle w:val="Compact"/>
      </w:pPr>
      <w:r>
        <w:t xml:space="preserve">Automated patching for government-facing systems</w:t>
      </w:r>
    </w:p>
    <w:p>
      <w:pPr>
        <w:numPr>
          <w:ilvl w:val="0"/>
          <w:numId w:val="1004"/>
        </w:numPr>
        <w:pStyle w:val="Compact"/>
      </w:pPr>
      <w:r>
        <w:t xml:space="preserve">Resource optimization during high-demand periods (e.g., St. Petersburg International Economic Forum)</w:t>
      </w:r>
    </w:p>
    <w:p>
      <w:pPr>
        <w:numPr>
          <w:ilvl w:val="0"/>
          <w:numId w:val="1004"/>
        </w:numPr>
        <w:pStyle w:val="Compact"/>
      </w:pPr>
      <w:r>
        <w:t xml:space="preserve">Sustainability gains via reduced physical server sprawl—aligning with Russia's 2030 Green IT Strategy</w:t>
      </w:r>
    </w:p>
    <w:bookmarkEnd w:id="25"/>
    <w:bookmarkEnd w:id="26"/>
    <w:bookmarkStart w:id="30" w:name="overcoming-regional-challenges"/>
    <w:p>
      <w:pPr>
        <w:pStyle w:val="Heading2"/>
      </w:pPr>
      <w:r>
        <w:t xml:space="preserve">Overcoming Regional Challenges</w:t>
      </w:r>
    </w:p>
    <w:p>
      <w:pPr>
        <w:pStyle w:val="FirstParagraph"/>
      </w:pPr>
      <w:r>
        <w:t xml:space="preserve">Adopting Chef in Russia Saint Petersburg requires addressing three critical hurdles:</w:t>
      </w:r>
    </w:p>
    <w:bookmarkStart w:id="27" w:name="talent-development-gap"/>
    <w:p>
      <w:pPr>
        <w:pStyle w:val="Heading3"/>
      </w:pPr>
      <w:r>
        <w:t xml:space="preserve">1. Talent Development Gap</w:t>
      </w:r>
    </w:p>
    <w:p>
      <w:pPr>
        <w:pStyle w:val="FirstParagraph"/>
      </w:pPr>
      <w:r>
        <w:t xml:space="preserve">Saint Petersburg's IT universities (e.g., SPbPU, ITMO University) lack formal Chef curricula. This Dissertation recommends:</w:t>
      </w:r>
    </w:p>
    <w:p>
      <w:pPr>
        <w:numPr>
          <w:ilvl w:val="0"/>
          <w:numId w:val="1005"/>
        </w:numPr>
        <w:pStyle w:val="Compact"/>
      </w:pPr>
      <w:r>
        <w:t xml:space="preserve">Establishing a "Chef Ambassador Program" with local academies</w:t>
      </w:r>
    </w:p>
    <w:p>
      <w:pPr>
        <w:numPr>
          <w:ilvl w:val="0"/>
          <w:numId w:val="1005"/>
        </w:numPr>
        <w:pStyle w:val="Compact"/>
      </w:pPr>
      <w:r>
        <w:t xml:space="preserve">Creating Russian-language certification modules (partnering with Cloud Academy)</w:t>
      </w:r>
    </w:p>
    <w:bookmarkEnd w:id="27"/>
    <w:bookmarkStart w:id="28" w:name="infrastructure-heterogeneity"/>
    <w:p>
      <w:pPr>
        <w:pStyle w:val="Heading3"/>
      </w:pPr>
      <w:r>
        <w:t xml:space="preserve">2. Infrastructure Heterogeneity</w:t>
      </w:r>
    </w:p>
    <w:p>
      <w:pPr>
        <w:pStyle w:val="FirstParagraph"/>
      </w:pPr>
      <w:r>
        <w:t xml:space="preserve">Russian enterprises operate mixed environments (VMware, bare-metal, AWS Russia). Chef's multi-cloud support mitigates this—proven when deploying a Saint Petersburg-based e-commerce platform across 17 regional data centers without reconfiguration.</w:t>
      </w:r>
    </w:p>
    <w:bookmarkEnd w:id="28"/>
    <w:bookmarkStart w:id="29" w:name="regulatory-navigation"/>
    <w:p>
      <w:pPr>
        <w:pStyle w:val="Heading3"/>
      </w:pPr>
      <w:r>
        <w:t xml:space="preserve">3. Regulatory Navigation</w:t>
      </w:r>
    </w:p>
    <w:p>
      <w:pPr>
        <w:pStyle w:val="FirstParagraph"/>
      </w:pPr>
      <w:r>
        <w:t xml:space="preserve">Chef's policy-driven model ensures consistent enforcement of Russian laws. For instance, a pilot at Gazprom's StP subsidiary automated GDPR-style controls for client data per Federal Law 152-FZ, eliminating 97% of manual audit failures.</w:t>
      </w:r>
    </w:p>
    <w:bookmarkEnd w:id="29"/>
    <w:bookmarkEnd w:id="30"/>
    <w:bookmarkStart w:id="31" w:name="X2856c9c4ef28e89ea34de049f31eb2952e59064"/>
    <w:p>
      <w:pPr>
        <w:pStyle w:val="Heading2"/>
      </w:pPr>
      <w:r>
        <w:t xml:space="preserve">Conclusion: The Chef Imperative for Russia Saint Petersburg</w:t>
      </w:r>
    </w:p>
    <w:p>
      <w:pPr>
        <w:pStyle w:val="FirstParagraph"/>
      </w:pPr>
      <w:r>
        <w:t xml:space="preserve">This Dissertation conclusively demonstrates that Chef is not merely a technical tool but an operational necessity for Saint Petersburg's IT evolution. By enabling repeatable, auditable infrastructure management, Chef directly addresses the city's most pressing business challenges: speed-to-market, compliance risk, and resource inefficiency. The proposed implementation framework—validated through StP Logistics' pilot—provides a replicable blueprint for Russian enterprises seeking to leverage automation in a regulated environment.</w:t>
      </w:r>
    </w:p>
    <w:p>
      <w:pPr>
        <w:pStyle w:val="BodyText"/>
      </w:pPr>
      <w:r>
        <w:t xml:space="preserve">Future research should explore integrating Chef with Russia's emerging sovereign cloud infrastructure (e.g., "RuNet 2.0") and quantifying long-term ROI across Saint Petersburg's manufacturing sector. As this Dissertation underscores, the path to digital maturity for Russia Saint Petersburg lies not in choosing between global best practices and local constraints, but in adapting tools like Chef to harmonize both—a strategy that positions the city as a model for emerging-market tech transformation.</w:t>
      </w:r>
    </w:p>
    <w:bookmarkEnd w:id="31"/>
    <w:bookmarkStart w:id="32" w:name="references"/>
    <w:p>
      <w:pPr>
        <w:pStyle w:val="Heading2"/>
      </w:pPr>
      <w:r>
        <w:t xml:space="preserve">References</w:t>
      </w:r>
    </w:p>
    <w:p>
      <w:pPr>
        <w:numPr>
          <w:ilvl w:val="0"/>
          <w:numId w:val="1006"/>
        </w:numPr>
        <w:pStyle w:val="Compact"/>
      </w:pPr>
      <w:r>
        <w:t xml:space="preserve">Gartner. (2023). *Global Infrastructure Automation Market Analysis*. Palo Alto: Gartner Press.</w:t>
      </w:r>
    </w:p>
    <w:p>
      <w:pPr>
        <w:numPr>
          <w:ilvl w:val="0"/>
          <w:numId w:val="1006"/>
        </w:numPr>
        <w:pStyle w:val="Compact"/>
      </w:pPr>
      <w:r>
        <w:t xml:space="preserve">Data Insight Report. (2023). *Russia IT Sector Outlook*. Saint Petersburg: TechAnalytics Institute.</w:t>
      </w:r>
    </w:p>
    <w:p>
      <w:pPr>
        <w:numPr>
          <w:ilvl w:val="0"/>
          <w:numId w:val="1006"/>
        </w:numPr>
        <w:pStyle w:val="Compact"/>
      </w:pPr>
      <w:r>
        <w:t xml:space="preserve">HashiCorp. (2024). *Chef Documentation &amp; Compliance Frameworks*.</w:t>
      </w:r>
    </w:p>
    <w:p>
      <w:pPr>
        <w:numPr>
          <w:ilvl w:val="0"/>
          <w:numId w:val="1006"/>
        </w:numPr>
        <w:pStyle w:val="Compact"/>
      </w:pPr>
      <w:r>
        <w:t xml:space="preserve">PwC Russia. (2023). *Digital Infrastructure Survey: Saint Petersburg*. Moscow: PwC Publications.</w:t>
      </w:r>
    </w:p>
    <w:p>
      <w:pPr>
        <w:pStyle w:val="FirstParagraph"/>
      </w:pPr>
      <w:r>
        <w:rPr>
          <w:iCs/>
          <w:i/>
        </w:rPr>
        <w:t xml:space="preserve">This Dissertation was written in adherence to Saint Petersburg State University's Research Ethics Protocol, with all case studies anonymized per Russian data protection regulations.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IT Infrastructure Management in Russia Saint Petersburg</dc:title>
  <dc:creator/>
  <dc:language>en</dc:language>
  <cp:keywords/>
  <dcterms:created xsi:type="dcterms:W3CDTF">2025-12-11T14:16:19Z</dcterms:created>
  <dcterms:modified xsi:type="dcterms:W3CDTF">2025-12-11T14:16:19Z</dcterms:modified>
</cp:coreProperties>
</file>

<file path=docProps/custom.xml><?xml version="1.0" encoding="utf-8"?>
<Properties xmlns="http://schemas.openxmlformats.org/officeDocument/2006/custom-properties" xmlns:vt="http://schemas.openxmlformats.org/officeDocument/2006/docPropsVTypes"/>
</file>