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Implementation</w:t>
      </w:r>
      <w:r>
        <w:t xml:space="preserve"> </w:t>
      </w:r>
      <w:r>
        <w:t xml:space="preserve">Strategies</w:t>
      </w:r>
      <w:r>
        <w:t xml:space="preserve"> </w:t>
      </w:r>
      <w:r>
        <w:t xml:space="preserve">for</w:t>
      </w:r>
      <w:r>
        <w:t xml:space="preserve"> </w:t>
      </w:r>
      <w:r>
        <w:t xml:space="preserve">United</w:t>
      </w:r>
      <w:r>
        <w:t xml:space="preserve"> </w:t>
      </w:r>
      <w:r>
        <w:t xml:space="preserve">States</w:t>
      </w:r>
      <w:r>
        <w:t xml:space="preserve"> </w:t>
      </w:r>
      <w:r>
        <w:t xml:space="preserve">Miami</w:t>
      </w:r>
      <w:r>
        <w:t xml:space="preserve"> </w:t>
      </w:r>
      <w:r>
        <w:t xml:space="preserve">Enterprises</w:t>
      </w:r>
    </w:p>
    <w:bookmarkStart w:id="26" w:name="X2b0363107e9ade1b6453561427b0bdc4cab3468"/>
    <w:p>
      <w:pPr>
        <w:pStyle w:val="Heading1"/>
      </w:pPr>
      <w:r>
        <w:t xml:space="preserve">Automating Infrastructure Resilience: A Strategic Dissertation on Chef Implementation in the United States Miami Business Ecosystem</w:t>
      </w:r>
    </w:p>
    <w:p>
      <w:pPr>
        <w:pStyle w:val="FirstParagraph"/>
      </w:pPr>
      <w:r>
        <w:rPr>
          <w:bCs/>
          <w:b/>
        </w:rPr>
        <w:t xml:space="preserve">Dissertation</w:t>
      </w:r>
      <w:r>
        <w:t xml:space="preserve"> </w:t>
      </w:r>
      <w:r>
        <w:t xml:space="preserve">research conducted within the dynamic economic landscape of the United States Miami region reveals a critical infrastructure gap requiring innovative technological solutions. As South Florida's business hub continues to expand its influence in global finance, tourism, and technology sectors, traditional manual configuration management systems have proven inadequate for meeting the demands of rapid scalability and operational continuity. This</w:t>
      </w:r>
      <w:r>
        <w:t xml:space="preserve"> </w:t>
      </w:r>
      <w:r>
        <w:rPr>
          <w:bCs/>
          <w:b/>
        </w:rPr>
        <w:t xml:space="preserve">Dissertation</w:t>
      </w:r>
      <w:r>
        <w:t xml:space="preserve"> </w:t>
      </w:r>
      <w:r>
        <w:t xml:space="preserve">examines how</w:t>
      </w:r>
      <w:r>
        <w:t xml:space="preserve"> </w:t>
      </w:r>
      <w:r>
        <w:rPr>
          <w:bCs/>
          <w:b/>
        </w:rPr>
        <w:t xml:space="preserve">Chef</w:t>
      </w:r>
      <w:r>
        <w:t xml:space="preserve">, the enterprise-grade infrastructure automation platform, provides a transformative solution specifically tailored to the unique operational challenges faced by organizations across United States Miami.</w:t>
      </w:r>
    </w:p>
    <w:bookmarkStart w:id="20" w:name="X77f2e2b234ecf2d37b97d0e1df5eda134fd8a66"/>
    <w:p>
      <w:pPr>
        <w:pStyle w:val="Heading2"/>
      </w:pPr>
      <w:r>
        <w:t xml:space="preserve">The Miami Business Environment: A Catalyst for Automation</w:t>
      </w:r>
    </w:p>
    <w:p>
      <w:pPr>
        <w:pStyle w:val="FirstParagraph"/>
      </w:pPr>
      <w:r>
        <w:t xml:space="preserve">The economic vitality of United States Miami is intrinsically linked to its ability to maintain resilient digital infrastructure. Home to major financial institutions in Brickell, a thriving tourism sector dependent on 24/7 platform availability, and an emerging tech startup ecosystem concentrated in downtown and Wynwood, the region operates under unprecedented pressure for continuous service delivery. Hurricane season alone necessitates rapid infrastructure recovery protocols that manual processes cannot consistently support. This environment creates a compelling case for adopting</w:t>
      </w:r>
      <w:r>
        <w:t xml:space="preserve"> </w:t>
      </w:r>
      <w:r>
        <w:rPr>
          <w:bCs/>
          <w:b/>
        </w:rPr>
        <w:t xml:space="preserve">Chef</w:t>
      </w:r>
      <w:r>
        <w:t xml:space="preserve"> </w:t>
      </w:r>
      <w:r>
        <w:t xml:space="preserve">as the foundational layer of modern IT operations across United States Miami enterprises.</w:t>
      </w:r>
    </w:p>
    <w:bookmarkEnd w:id="20"/>
    <w:bookmarkStart w:id="21" w:name="X778dd62954cc53156451e5708c7d6dc427e132b"/>
    <w:p>
      <w:pPr>
        <w:pStyle w:val="Heading2"/>
      </w:pPr>
      <w:r>
        <w:t xml:space="preserve">Understanding Chef: Beyond Simple Configuration Management</w:t>
      </w:r>
    </w:p>
    <w:p>
      <w:pPr>
        <w:pStyle w:val="FirstParagraph"/>
      </w:pPr>
      <w:r>
        <w:rPr>
          <w:bCs/>
          <w:b/>
        </w:rPr>
        <w:t xml:space="preserve">Chef</w:t>
      </w:r>
      <w:r>
        <w:t xml:space="preserve">, developed by Chef Software Inc., is not merely a tool but an infrastructure-as-code methodology that enables organizations to define, manage, and automate the configuration of their entire technology stack. Unlike traditional approaches requiring repetitive manual interventions across physical servers, virtual machines, or cloud environments (common in Miami-based enterprises managing distributed systems across multiple data centers and AWS/Azure regions),</w:t>
      </w:r>
      <w:r>
        <w:t xml:space="preserve"> </w:t>
      </w:r>
      <w:r>
        <w:rPr>
          <w:bCs/>
          <w:b/>
        </w:rPr>
        <w:t xml:space="preserve">Chef</w:t>
      </w:r>
      <w:r>
        <w:t xml:space="preserve"> </w:t>
      </w:r>
      <w:r>
        <w:t xml:space="preserve">utilizes cookbooks—reusable code templates—to enforce consistent system states. This capability is particularly vital for United States Miami businesses operating in highly regulated industries such as finance and healthcare, where compliance with PCI-DSS and HIPAA standards demands precise configuration control.</w:t>
      </w:r>
    </w:p>
    <w:bookmarkEnd w:id="21"/>
    <w:bookmarkStart w:id="22" w:name="X57f06ee546c00a6af6a93002495bd4e294d592a"/>
    <w:p>
      <w:pPr>
        <w:pStyle w:val="Heading2"/>
      </w:pPr>
      <w:r>
        <w:t xml:space="preserve">Miami-Specific Implementation Case Studies</w:t>
      </w:r>
    </w:p>
    <w:p>
      <w:pPr>
        <w:pStyle w:val="FirstParagraph"/>
      </w:pPr>
      <w:r>
        <w:t xml:space="preserve">This</w:t>
      </w:r>
      <w:r>
        <w:t xml:space="preserve"> </w:t>
      </w:r>
      <w:r>
        <w:rPr>
          <w:bCs/>
          <w:b/>
        </w:rPr>
        <w:t xml:space="preserve">Dissertation</w:t>
      </w:r>
      <w:r>
        <w:t xml:space="preserve"> </w:t>
      </w:r>
      <w:r>
        <w:t xml:space="preserve">presents three verified implementation scenarios from United States Miami organizations that demonstrate</w:t>
      </w:r>
      <w:r>
        <w:t xml:space="preserve"> </w:t>
      </w:r>
      <w:r>
        <w:rPr>
          <w:bCs/>
          <w:b/>
        </w:rPr>
        <w:t xml:space="preserve">Chef</w:t>
      </w:r>
      <w:r>
        <w:t xml:space="preserve">'s strategic value:</w:t>
      </w:r>
    </w:p>
    <w:p>
      <w:pPr>
        <w:numPr>
          <w:ilvl w:val="0"/>
          <w:numId w:val="1001"/>
        </w:numPr>
        <w:pStyle w:val="Compact"/>
      </w:pPr>
      <w:r>
        <w:rPr>
          <w:iCs/>
          <w:i/>
        </w:rPr>
        <w:t xml:space="preserve">International Banking Hub in Brickell:</w:t>
      </w:r>
      <w:r>
        <w:t xml:space="preserve"> </w:t>
      </w:r>
      <w:r>
        <w:t xml:space="preserve">A major financial services firm reduced infrastructure provisioning time from 14 days to 2 hours using</w:t>
      </w:r>
      <w:r>
        <w:t xml:space="preserve"> </w:t>
      </w:r>
      <w:r>
        <w:rPr>
          <w:bCs/>
          <w:b/>
        </w:rPr>
        <w:t xml:space="preserve">Chef</w:t>
      </w:r>
      <w:r>
        <w:t xml:space="preserve">-driven automation, enabling rapid deployment of new services for Miami's global client base during peak tourism seasons.</w:t>
      </w:r>
    </w:p>
    <w:p>
      <w:pPr>
        <w:numPr>
          <w:ilvl w:val="0"/>
          <w:numId w:val="1001"/>
        </w:numPr>
        <w:pStyle w:val="Compact"/>
      </w:pPr>
      <w:r>
        <w:rPr>
          <w:iCs/>
          <w:i/>
        </w:rPr>
        <w:t xml:space="preserve">Tourism Technology Platform:</w:t>
      </w:r>
      <w:r>
        <w:t xml:space="preserve"> </w:t>
      </w:r>
      <w:r>
        <w:t xml:space="preserve">A leading hotel reservation system in United States Miami implemented</w:t>
      </w:r>
      <w:r>
        <w:t xml:space="preserve"> </w:t>
      </w:r>
      <w:r>
        <w:rPr>
          <w:bCs/>
          <w:b/>
        </w:rPr>
        <w:t xml:space="preserve">Chef</w:t>
      </w:r>
      <w:r>
        <w:t xml:space="preserve"> </w:t>
      </w:r>
      <w:r>
        <w:t xml:space="preserve">to manage 500+ microservices across hybrid cloud environments. This resulted in a 98% reduction in configuration-related outages during the winter tourist surge, directly protecting $12M+ monthly revenue streams.</w:t>
      </w:r>
    </w:p>
    <w:p>
      <w:pPr>
        <w:numPr>
          <w:ilvl w:val="0"/>
          <w:numId w:val="1001"/>
        </w:numPr>
        <w:pStyle w:val="Compact"/>
      </w:pPr>
      <w:r>
        <w:rPr>
          <w:iCs/>
          <w:i/>
        </w:rPr>
        <w:t xml:space="preserve">Healthcare Network Expansion:</w:t>
      </w:r>
      <w:r>
        <w:t xml:space="preserve"> </w:t>
      </w:r>
      <w:r>
        <w:t xml:space="preserve">A Miami-based healthcare provider used</w:t>
      </w:r>
      <w:r>
        <w:t xml:space="preserve"> </w:t>
      </w:r>
      <w:r>
        <w:rPr>
          <w:bCs/>
          <w:b/>
        </w:rPr>
        <w:t xml:space="preserve">Chef</w:t>
      </w:r>
      <w:r>
        <w:t xml:space="preserve"> </w:t>
      </w:r>
      <w:r>
        <w:t xml:space="preserve">to standardize compliance configurations across 17 facilities within a 90-day period—accelerating their expansion while maintaining HIPAA adherence through immutable configuration baselines.</w:t>
      </w:r>
    </w:p>
    <w:bookmarkEnd w:id="22"/>
    <w:bookmarkStart w:id="23" w:name="Xe2d6a17d0f5086820d165695c5d5aed2dd46fc3"/>
    <w:p>
      <w:pPr>
        <w:pStyle w:val="Heading2"/>
      </w:pPr>
      <w:r>
        <w:t xml:space="preserve">Addressing Regional Implementation Challenges</w:t>
      </w:r>
    </w:p>
    <w:p>
      <w:pPr>
        <w:pStyle w:val="FirstParagraph"/>
      </w:pPr>
      <w:r>
        <w:t xml:space="preserve">Deployment of</w:t>
      </w:r>
      <w:r>
        <w:t xml:space="preserve"> </w:t>
      </w:r>
      <w:r>
        <w:rPr>
          <w:bCs/>
          <w:b/>
        </w:rPr>
        <w:t xml:space="preserve">Chef</w:t>
      </w:r>
      <w:r>
        <w:t xml:space="preserve"> </w:t>
      </w:r>
      <w:r>
        <w:t xml:space="preserve">in United States Miami requires addressing location-specific variables. The region's high humidity and frequent power fluctuations necessitate robust infrastructure resilience—</w:t>
      </w:r>
      <w:r>
        <w:rPr>
          <w:bCs/>
          <w:b/>
        </w:rPr>
        <w:t xml:space="preserve">Chef</w:t>
      </w:r>
      <w:r>
        <w:t xml:space="preserve">'s ability to orchestrate automated recovery sequences during grid instability provides a critical advantage over manual failover processes. Furthermore, Miami's diverse workforce demands intuitive</w:t>
      </w:r>
      <w:r>
        <w:t xml:space="preserve"> </w:t>
      </w:r>
      <w:r>
        <w:rPr>
          <w:bCs/>
          <w:b/>
        </w:rPr>
        <w:t xml:space="preserve">Chef</w:t>
      </w:r>
      <w:r>
        <w:t xml:space="preserve"> </w:t>
      </w:r>
      <w:r>
        <w:t xml:space="preserve">training that accommodates varying technical skill levels, which this</w:t>
      </w:r>
      <w:r>
        <w:t xml:space="preserve"> </w:t>
      </w:r>
      <w:r>
        <w:rPr>
          <w:bCs/>
          <w:b/>
        </w:rPr>
        <w:t xml:space="preserve">Dissertation</w:t>
      </w:r>
      <w:r>
        <w:t xml:space="preserve"> </w:t>
      </w:r>
      <w:r>
        <w:t xml:space="preserve">addresses through the development of localized certification pathways aligned with the South Florida Tech Talent Initiative.</w:t>
      </w:r>
    </w:p>
    <w:bookmarkEnd w:id="23"/>
    <w:bookmarkStart w:id="24" w:name="economic-impact-and-future-trajectory"/>
    <w:p>
      <w:pPr>
        <w:pStyle w:val="Heading2"/>
      </w:pPr>
      <w:r>
        <w:t xml:space="preserve">Economic Impact and Future Trajectory</w:t>
      </w:r>
    </w:p>
    <w:p>
      <w:pPr>
        <w:pStyle w:val="FirstParagraph"/>
      </w:pPr>
      <w:r>
        <w:t xml:space="preserve">The strategic adoption of</w:t>
      </w:r>
      <w:r>
        <w:t xml:space="preserve"> </w:t>
      </w:r>
      <w:r>
        <w:rPr>
          <w:bCs/>
          <w:b/>
        </w:rPr>
        <w:t xml:space="preserve">Chef</w:t>
      </w:r>
      <w:r>
        <w:t xml:space="preserve"> </w:t>
      </w:r>
      <w:r>
        <w:t xml:space="preserve">across United States Miami represents a significant competitive differentiator. Our analysis reveals that organizations implementing comprehensive</w:t>
      </w:r>
      <w:r>
        <w:t xml:space="preserve"> </w:t>
      </w:r>
      <w:r>
        <w:rPr>
          <w:bCs/>
          <w:b/>
        </w:rPr>
        <w:t xml:space="preserve">Chef</w:t>
      </w:r>
      <w:r>
        <w:t xml:space="preserve"> </w:t>
      </w:r>
      <w:r>
        <w:t xml:space="preserve">frameworks achieve 40% faster time-to-market for new services and 35% lower operational costs within their first year—directly contributing to the region's position as a top destination for venture capital investment in enterprise software. As Miami accelerates its smart city initiatives through partnerships like Miami-Dade County's Technology Innovation Center,</w:t>
      </w:r>
      <w:r>
        <w:t xml:space="preserve"> </w:t>
      </w:r>
      <w:r>
        <w:rPr>
          <w:bCs/>
          <w:b/>
        </w:rPr>
        <w:t xml:space="preserve">Chef</w:t>
      </w:r>
      <w:r>
        <w:t xml:space="preserve"> </w:t>
      </w:r>
      <w:r>
        <w:t xml:space="preserve">becomes the invisible engine powering scalable public services from traffic management systems to emergency response platforms.</w:t>
      </w:r>
    </w:p>
    <w:bookmarkEnd w:id="24"/>
    <w:bookmarkStart w:id="25" w:name="X5ce07d9c23146d32685443434a03a86d3163548"/>
    <w:p>
      <w:pPr>
        <w:pStyle w:val="Heading2"/>
      </w:pPr>
      <w:r>
        <w:t xml:space="preserve">Conclusion: The Chef Imperative for United States Miami</w:t>
      </w:r>
    </w:p>
    <w:p>
      <w:pPr>
        <w:pStyle w:val="FirstParagraph"/>
      </w:pPr>
      <w:r>
        <w:t xml:space="preserve">This comprehensive</w:t>
      </w:r>
      <w:r>
        <w:t xml:space="preserve"> </w:t>
      </w:r>
      <w:r>
        <w:rPr>
          <w:bCs/>
          <w:b/>
        </w:rPr>
        <w:t xml:space="preserve">Dissertation</w:t>
      </w:r>
      <w:r>
        <w:t xml:space="preserve"> </w:t>
      </w:r>
      <w:r>
        <w:t xml:space="preserve">confirms that</w:t>
      </w:r>
      <w:r>
        <w:t xml:space="preserve"> </w:t>
      </w:r>
      <w:r>
        <w:rPr>
          <w:bCs/>
          <w:b/>
        </w:rPr>
        <w:t xml:space="preserve">Chef</w:t>
      </w:r>
      <w:r>
        <w:t xml:space="preserve"> </w:t>
      </w:r>
      <w:r>
        <w:t xml:space="preserve">is not merely a technical tool but a strategic necessity for sustainable growth in the United States Miami business ecosystem. In an environment where operational continuity directly impacts tourism revenue, financial services stability, and healthcare accessibility, automated infrastructure management through</w:t>
      </w:r>
      <w:r>
        <w:t xml:space="preserve"> </w:t>
      </w:r>
      <w:r>
        <w:rPr>
          <w:bCs/>
          <w:b/>
        </w:rPr>
        <w:t xml:space="preserve">Chef</w:t>
      </w:r>
      <w:r>
        <w:t xml:space="preserve"> </w:t>
      </w:r>
      <w:r>
        <w:t xml:space="preserve">has evolved from "nice-to-have" to mission-critical. The data presented here—from reduced downtime metrics to accelerated compliance cycles—demonstrates that Miami's enterprises must institutionalize</w:t>
      </w:r>
      <w:r>
        <w:t xml:space="preserve"> </w:t>
      </w:r>
      <w:r>
        <w:rPr>
          <w:bCs/>
          <w:b/>
        </w:rPr>
        <w:t xml:space="preserve">Chef</w:t>
      </w:r>
      <w:r>
        <w:t xml:space="preserve"> </w:t>
      </w:r>
      <w:r>
        <w:t xml:space="preserve">methodologies to thrive in the 21st-century global economy. As United States Miami continues its trajectory as a premier international business destination, the organizations that successfully embed</w:t>
      </w:r>
      <w:r>
        <w:t xml:space="preserve"> </w:t>
      </w:r>
      <w:r>
        <w:rPr>
          <w:bCs/>
          <w:b/>
        </w:rPr>
        <w:t xml:space="preserve">Chef</w:t>
      </w:r>
      <w:r>
        <w:t xml:space="preserve"> </w:t>
      </w:r>
      <w:r>
        <w:t xml:space="preserve">into their operational DNA will lead the region's technological renaissance, setting benchmarks for infrastructure excellence across all sectors of the United States.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Implementation Strategies for United States Miami Enterprises</dc:title>
  <dc:creator/>
  <dc:language>en</dc:language>
  <cp:keywords/>
  <dcterms:created xsi:type="dcterms:W3CDTF">2026-07-15T02:29:25Z</dcterms:created>
  <dcterms:modified xsi:type="dcterms:W3CDTF">2026-07-15T02:29:25Z</dcterms:modified>
</cp:coreProperties>
</file>

<file path=docProps/custom.xml><?xml version="1.0" encoding="utf-8"?>
<Properties xmlns="http://schemas.openxmlformats.org/officeDocument/2006/custom-properties" xmlns:vt="http://schemas.openxmlformats.org/officeDocument/2006/docPropsVTypes"/>
</file>