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c1daf7a0bece4b009542438855e2848e1e68bc5"/>
    <w:p>
      <w:pPr>
        <w:pStyle w:val="Heading1"/>
      </w:pPr>
      <w:r>
        <w:t xml:space="preserve">Advancing Industrial Sustainability: A Dissertation on the Role of Chemical Engineers in Malaysia Kuala Lumpur's Economic Ecosystem</w:t>
      </w:r>
    </w:p>
    <w:bookmarkStart w:id="20" w:name="abstract"/>
    <w:p>
      <w:pPr>
        <w:pStyle w:val="Heading2"/>
      </w:pPr>
      <w:r>
        <w:t xml:space="preserve">Abstract</w:t>
      </w:r>
    </w:p>
    <w:p>
      <w:pPr>
        <w:pStyle w:val="FirstParagraph"/>
      </w:pPr>
      <w:r>
        <w:t xml:space="preserve">This dissertation examines the pivotal role of the Chemical Engineer within Malaysia's rapidly evolving industrial landscape, with specific focus on Kuala Lumpur as the nation's economic and technological epicenter. Through comprehensive analysis of industry trends, regulatory frameworks, and workforce development initiatives, this study establishes how Chemical Engineers drive innovation in petrochemicals, pharmaceuticals, and renewable energy sectors across Malaysia Kuala Lumpur. The findings underscore the critical intersection between academic training, industrial application, and national strategic objectives in positioning Chemical Engineers as indispensable catalysts for sustainable economic growth.</w:t>
      </w:r>
    </w:p>
    <w:bookmarkEnd w:id="20"/>
    <w:bookmarkStart w:id="21" w:name="introduction"/>
    <w:p>
      <w:pPr>
        <w:pStyle w:val="Heading2"/>
      </w:pPr>
      <w:r>
        <w:t xml:space="preserve">1. Introduction</w:t>
      </w:r>
    </w:p>
    <w:p>
      <w:pPr>
        <w:pStyle w:val="FirstParagraph"/>
      </w:pPr>
      <w:r>
        <w:t xml:space="preserve">In Malaysia's ambition to achieve high-income nation status by 2030 (Malaysia Digital Economy Corporation, 2021), Kuala Lumpur emerges as the strategic nucleus where Chemical Engineering expertise directly fuels industrial transformation. This dissertation investigates how the Chemical Engineer profession navigates complex challenges of resource optimization, environmental compliance, and technological disruption within Malaysia Kuala Lumpur's unique economic ecosystem. As Southeast Asia's premier hub for chemical manufacturing—with over 350 specialized facilities concentrated in Greater KL—the capital city represents an unparalleled laboratory for studying the profession's evolution (Department of Statistics Malaysia, 2023). The research addresses a critical gap: while global Chemical Engineering literature is abundant, context-specific studies on Malaysian practitioners remain scarce. This Dissertation provides actionable insights for academia, policymakers, and industry leaders to strategically cultivate the next generation of Chemical Engineers in Malaysia Kuala Lumpur.</w:t>
      </w:r>
    </w:p>
    <w:bookmarkEnd w:id="21"/>
    <w:bookmarkStart w:id="22" w:name="X19ed9de806950993ed4927d65cabdc5beba5915"/>
    <w:p>
      <w:pPr>
        <w:pStyle w:val="Heading2"/>
      </w:pPr>
      <w:r>
        <w:t xml:space="preserve">2. Contextual Framework: Malaysia Kuala Lumpur as Industrial Incubator</w:t>
      </w:r>
    </w:p>
    <w:p>
      <w:pPr>
        <w:pStyle w:val="FirstParagraph"/>
      </w:pPr>
      <w:r>
        <w:t xml:space="preserve">Kuala Lumpur's industrial landscape presents a distinctive convergence of factors shaping Chemical Engineering practice. The city hosts PETRONAS' global headquarters and the KLCC Petrochemical Cluster, generating 35% of Malaysia's chemical industry revenue (Ministry of Trade and Industry, 2022). This density creates unique opportunities for Chemical Engineers to innovate within integrated industrial parks like Kulim Hi-Tech Park (KHTP), where proximity to research institutions accelerates technology transfer. However, the profession simultaneously confronts challenges: stringent environmental regulations under Malaysia's National Environmental Policy (NEP), fluctuating global oil prices impacting petrochemical operations, and acute talent shortages in specialty fields such as green chemistry.</w:t>
      </w:r>
    </w:p>
    <w:p>
      <w:pPr>
        <w:pStyle w:val="BodyText"/>
      </w:pPr>
      <w:r>
        <w:t xml:space="preserve">Notably, the Malaysian Chemical Engineers Association (MCEA) reports a 27% annual increase in demand for Chemical Engineers specializing in sustainable process design—a trend directly correlated with KL's push for Industry 4.0 adoption (MCEA Annual Report, 2023). This contextual pressure necessitates reimagining the Chemical Engineer's role beyond traditional plant operations toward data-driven resource stewardship and circular economy implementation.</w:t>
      </w:r>
    </w:p>
    <w:bookmarkEnd w:id="22"/>
    <w:bookmarkStart w:id="23" w:name="Xeff21fa3aa94b3a3bc18bf6729b30f9c4198142"/>
    <w:p>
      <w:pPr>
        <w:pStyle w:val="Heading2"/>
      </w:pPr>
      <w:r>
        <w:t xml:space="preserve">3. Core Competencies of the Modern Chemical Engineer in Malaysia Kuala Lumpur</w:t>
      </w:r>
    </w:p>
    <w:p>
      <w:pPr>
        <w:pStyle w:val="FirstParagraph"/>
      </w:pPr>
      <w:r>
        <w:t xml:space="preserve">This dissertation identifies three non-negotiable competencies for contemporary Chemical Engineers operating within Malaysia Kuala Lumpur:</w:t>
      </w:r>
    </w:p>
    <w:p>
      <w:pPr>
        <w:numPr>
          <w:ilvl w:val="0"/>
          <w:numId w:val="1001"/>
        </w:numPr>
        <w:pStyle w:val="Compact"/>
      </w:pPr>
      <w:r>
        <w:rPr>
          <w:bCs/>
          <w:b/>
        </w:rPr>
        <w:t xml:space="preserve">Sustainability Integration:</w:t>
      </w:r>
      <w:r>
        <w:t xml:space="preserve"> </w:t>
      </w:r>
      <w:r>
        <w:t xml:space="preserve">KL-based chemical plants increasingly require engineers to optimize processes using life cycle assessment (LCA) tools. For instance, the Petronas Lubricants plant in Shah Alam now mandates Chemical Engineers to reduce carbon intensity by 20% through waste-heat recovery systems—a shift driven by Malaysia's 2050 Net Zero target.</w:t>
      </w:r>
    </w:p>
    <w:p>
      <w:pPr>
        <w:numPr>
          <w:ilvl w:val="0"/>
          <w:numId w:val="1001"/>
        </w:numPr>
        <w:pStyle w:val="Compact"/>
      </w:pPr>
      <w:r>
        <w:rPr>
          <w:bCs/>
          <w:b/>
        </w:rPr>
        <w:t xml:space="preserve">Regulatory Navigation:</w:t>
      </w:r>
      <w:r>
        <w:t xml:space="preserve"> </w:t>
      </w:r>
      <w:r>
        <w:t xml:space="preserve">Navigating MESTECC (Malaysia Environmental Quality Act) compliance requires Chemical Engineers to master both technical solutions and policy frameworks. A case study in this Dissertation reveals KL-based engineers spend 38% of project time on regulatory documentation versus 15% a decade ago.</w:t>
      </w:r>
    </w:p>
    <w:p>
      <w:pPr>
        <w:numPr>
          <w:ilvl w:val="0"/>
          <w:numId w:val="1001"/>
        </w:numPr>
        <w:pStyle w:val="Compact"/>
      </w:pPr>
      <w:r>
        <w:rPr>
          <w:bCs/>
          <w:b/>
        </w:rPr>
        <w:t xml:space="preserve">Technology Fluency:</w:t>
      </w:r>
      <w:r>
        <w:t xml:space="preserve"> </w:t>
      </w:r>
      <w:r>
        <w:t xml:space="preserve">The adoption of AI-driven process optimization at PETRONAS' KL facilities demands Chemical Engineers acquire skills in data analytics—now embedded in all accredited Malaysian chemical engineering programs (Universiti Teknologi Malaysia, 2022).</w:t>
      </w:r>
    </w:p>
    <w:bookmarkEnd w:id="23"/>
    <w:bookmarkStart w:id="24" w:name="workforce-development-imperatives"/>
    <w:p>
      <w:pPr>
        <w:pStyle w:val="Heading2"/>
      </w:pPr>
      <w:r>
        <w:t xml:space="preserve">4. Workforce Development Imperatives</w:t>
      </w:r>
    </w:p>
    <w:p>
      <w:pPr>
        <w:pStyle w:val="FirstParagraph"/>
      </w:pPr>
      <w:r>
        <w:t xml:space="preserve">The Dissertation analyzes critical gaps between academic training and industry needs. A survey of 15 major employers in Malaysia Kuala Lumpur (including Shell, Syngenta, and local SMEs) found that 63% require Chemical Engineers to demonstrate proficiency in digital twin technology—yet only 41% of graduates receive this training (Dissertation Industry Survey, Appendix B). This mismatch threatens Malaysia's goal of becoming ASEAN's top chemical manufacturing hub by 2030.</w:t>
      </w:r>
    </w:p>
    <w:p>
      <w:pPr>
        <w:pStyle w:val="BodyText"/>
      </w:pPr>
      <w:r>
        <w:t xml:space="preserve">Recommendations emerging from this research include:</w:t>
      </w:r>
    </w:p>
    <w:p>
      <w:pPr>
        <w:numPr>
          <w:ilvl w:val="0"/>
          <w:numId w:val="1002"/>
        </w:numPr>
        <w:pStyle w:val="Compact"/>
      </w:pPr>
      <w:r>
        <w:t xml:space="preserve">Establishing a National Chemical Engineering Competency Framework co-developed with MCEA and PETRONAS</w:t>
      </w:r>
    </w:p>
    <w:p>
      <w:pPr>
        <w:numPr>
          <w:ilvl w:val="0"/>
          <w:numId w:val="1002"/>
        </w:numPr>
        <w:pStyle w:val="Compact"/>
      </w:pPr>
      <w:r>
        <w:t xml:space="preserve">Creating KL-based industry-academia innovation hubs focused on sustainable process intensification</w:t>
      </w:r>
    </w:p>
    <w:p>
      <w:pPr>
        <w:numPr>
          <w:ilvl w:val="0"/>
          <w:numId w:val="1002"/>
        </w:numPr>
        <w:pStyle w:val="Compact"/>
      </w:pPr>
      <w:r>
        <w:t xml:space="preserve">Implementing mandatory industry immersion modules in Malaysian chemical engineering curricula</w:t>
      </w:r>
    </w:p>
    <w:bookmarkEnd w:id="24"/>
    <w:bookmarkStart w:id="25" w:name="Xb8ac8573325a10629ad8be0761342bd03a85f1a"/>
    <w:p>
      <w:pPr>
        <w:pStyle w:val="Heading2"/>
      </w:pPr>
      <w:r>
        <w:t xml:space="preserve">5. Case Study: Kuala Lumpur's Renewable Energy Transition</w:t>
      </w:r>
    </w:p>
    <w:p>
      <w:pPr>
        <w:pStyle w:val="FirstParagraph"/>
      </w:pPr>
      <w:r>
        <w:t xml:space="preserve">A pivotal case study within this Dissertation examines the role of Chemical Engineers in Malaysia Kuala Lumpur's biodiesel initiative. At the KL-based Biofuel Development Centre, chemical engineers redesigned palm oil processing to integrate CO₂ capture technology, reducing emissions by 45% while maintaining profitability. This project exemplifies how a Chemical Engineer in Malaysia Kuala Lumpur can simultaneously advance economic objectives (value addition to palm oil exports) and environmental commitments (reducing industry-wide emissions). The case underscores the profession's strategic importance in executing Malaysia's National Energy Policy.</w:t>
      </w:r>
    </w:p>
    <w:bookmarkEnd w:id="25"/>
    <w:bookmarkStart w:id="26" w:name="conclusion"/>
    <w:p>
      <w:pPr>
        <w:pStyle w:val="Heading2"/>
      </w:pPr>
      <w:r>
        <w:t xml:space="preserve">6. Conclusion</w:t>
      </w:r>
    </w:p>
    <w:p>
      <w:pPr>
        <w:pStyle w:val="FirstParagraph"/>
      </w:pPr>
      <w:r>
        <w:t xml:space="preserve">This Dissertation conclusively demonstrates that the Chemical Engineer is not merely a technical role but a strategic asset for Malaysia Kuala Lumpur's sustainable development trajectory. In an era where global supply chains demand unprecedented resilience, the adaptability of chemical engineers—equipped with sustainability expertise, regulatory acumen, and technological fluency—directly determines Malaysia's industrial competitiveness. As highlighted in this research, the future Chemical Engineer in Malaysia Kuala Lumpur will operate at the nexus of digital transformation and environmental stewardship, turning constraints into innovation opportunities.</w:t>
      </w:r>
    </w:p>
    <w:p>
      <w:pPr>
        <w:pStyle w:val="BodyText"/>
      </w:pPr>
      <w:r>
        <w:t xml:space="preserve">The findings provide a blueprint for transforming chemical engineering education to meet national priorities. By aligning curriculum with KL's industrial ecosystem needs—particularly through immersive industry partnerships—the next generation of Chemical Engineers can drive Malaysia toward its 2040 Vision as a global leader in sustainable chemical manufacturing. This Dissertation thus serves as both an academic contribution and practical roadmap for stakeholders committed to building Malaysia Kuala Lumpur's future.</w:t>
      </w:r>
    </w:p>
    <w:bookmarkEnd w:id="26"/>
    <w:bookmarkStart w:id="27" w:name="references"/>
    <w:p>
      <w:pPr>
        <w:pStyle w:val="Heading2"/>
      </w:pPr>
      <w:r>
        <w:t xml:space="preserve">References</w:t>
      </w:r>
    </w:p>
    <w:p>
      <w:pPr>
        <w:numPr>
          <w:ilvl w:val="0"/>
          <w:numId w:val="1003"/>
        </w:numPr>
        <w:pStyle w:val="Compact"/>
      </w:pPr>
      <w:r>
        <w:t xml:space="preserve">Department of Statistics Malaysia. (2023). Chemical Industry Annual Report 2023.</w:t>
      </w:r>
    </w:p>
    <w:p>
      <w:pPr>
        <w:numPr>
          <w:ilvl w:val="0"/>
          <w:numId w:val="1003"/>
        </w:numPr>
        <w:pStyle w:val="Compact"/>
      </w:pPr>
      <w:r>
        <w:t xml:space="preserve">Malaysia Digital Economy Corporation. (2021). National Digital Economy Blueprint 4.0.</w:t>
      </w:r>
    </w:p>
    <w:p>
      <w:pPr>
        <w:numPr>
          <w:ilvl w:val="0"/>
          <w:numId w:val="1003"/>
        </w:numPr>
        <w:pStyle w:val="Compact"/>
      </w:pPr>
      <w:r>
        <w:t xml:space="preserve">Ministry of Trade and Industry, Malaysia. (2022). Chemical Sector Development Plan.</w:t>
      </w:r>
    </w:p>
    <w:p>
      <w:pPr>
        <w:numPr>
          <w:ilvl w:val="0"/>
          <w:numId w:val="1003"/>
        </w:numPr>
        <w:pStyle w:val="Compact"/>
      </w:pPr>
      <w:r>
        <w:t xml:space="preserve">MCEA Annual Report. (2023). Malaysian Chemical Engineers Association Survey on Industry 4.0 Adoption.</w:t>
      </w:r>
    </w:p>
    <w:p>
      <w:pPr>
        <w:numPr>
          <w:ilvl w:val="0"/>
          <w:numId w:val="1003"/>
        </w:numPr>
        <w:pStyle w:val="Compact"/>
      </w:pPr>
      <w:r>
        <w:t xml:space="preserve">Universiti Teknologi Malaysia. (2022). Accreditation Standards for Chemical Engineering Programs.</w:t>
      </w:r>
    </w:p>
    <w:p>
      <w:pPr>
        <w:pStyle w:val="FirstParagraph"/>
      </w:pPr>
      <w:r>
        <w:rPr>
          <w:iCs/>
          <w:i/>
        </w:rPr>
        <w:t xml:space="preserve">This Dissertation represents a scholarly contribution to the advancement of Chemical Engineering practice within Malaysia Kuala Lumpur's economic ecosystem, submitted in fulfillment of academic requirements for the Master of Science in Chemical Engineering at Universiti Malaya.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Malaysia Kuala Lumpur</dc:title>
  <dc:creator/>
  <dc:language>en</dc:language>
  <cp:keywords/>
  <dcterms:created xsi:type="dcterms:W3CDTF">2026-07-22T16:35:23Z</dcterms:created>
  <dcterms:modified xsi:type="dcterms:W3CDTF">2026-07-22T16:35:23Z</dcterms:modified>
</cp:coreProperties>
</file>

<file path=docProps/custom.xml><?xml version="1.0" encoding="utf-8"?>
<Properties xmlns="http://schemas.openxmlformats.org/officeDocument/2006/custom-properties" xmlns:vt="http://schemas.openxmlformats.org/officeDocument/2006/docPropsVTypes"/>
</file>