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eb3d54f13c235021d754a3f95f5486a4c825f7a"/>
    <w:p>
      <w:pPr>
        <w:pStyle w:val="Heading1"/>
      </w:pPr>
      <w:r>
        <w:t xml:space="preserve">The Pivotal Role of Curriculum Developers in Shaping Future-Ready Education Systems: A Dissertation Focused on Malaysia Kuala Lumpur</w:t>
      </w:r>
    </w:p>
    <w:bookmarkStart w:id="20" w:name="X9d7e1adc00c03704a4f6dbc95d3d1faf159f892"/>
    <w:p>
      <w:pPr>
        <w:pStyle w:val="Heading2"/>
      </w:pPr>
      <w:r>
        <w:t xml:space="preserve">Introduction: The Imperative for Contextualized Curriculum Development in Malaysia Kuala Lumpur</w:t>
      </w:r>
    </w:p>
    <w:p>
      <w:pPr>
        <w:pStyle w:val="FirstParagraph"/>
      </w:pPr>
      <w:r>
        <w:t xml:space="preserve">In the dynamic educational landscape of Southeast Asia, Malaysia stands at a critical juncture where global competitiveness demands rigorous academic transformation. This dissertation examines the indispensable role of the</w:t>
      </w:r>
      <w:r>
        <w:t xml:space="preserve"> </w:t>
      </w:r>
      <w:r>
        <w:rPr>
          <w:iCs/>
          <w:i/>
        </w:rPr>
        <w:t xml:space="preserve">Curriculum Developer</w:t>
      </w:r>
      <w:r>
        <w:t xml:space="preserve"> </w:t>
      </w:r>
      <w:r>
        <w:t xml:space="preserve">within the Malaysian education framework, with specific emphasis on Kuala Lumpur as the national epicenter for educational innovation. As Malaysia advances toward its Vision 2030 goals, aligning education with technological disruption and socio-cultural diversity, the strategic function of Curriculum Developers becomes paramount. This research argues that effective curriculum design—not merely content assembly but pedagogical orchestration—directly influences national development outcomes in Kuala Lumpur's schools and universities.</w:t>
      </w:r>
    </w:p>
    <w:bookmarkEnd w:id="20"/>
    <w:bookmarkStart w:id="21" w:name="Xbfc0f17d5eaa6dceea413cd74bb911d6b0c133a"/>
    <w:p>
      <w:pPr>
        <w:pStyle w:val="Heading2"/>
      </w:pPr>
      <w:r>
        <w:t xml:space="preserve">Literature Review: Global Best Practices and Malaysia's Contextual Imperatives</w:t>
      </w:r>
    </w:p>
    <w:p>
      <w:pPr>
        <w:pStyle w:val="FirstParagraph"/>
      </w:pPr>
      <w:r>
        <w:t xml:space="preserve">International scholarship (OECD, 2021) underscores that high-impact curriculum development integrates local context with global standards. However, Malaysia’s unique multi-ethnic society—where Malay, Chinese, Indian and indigenous cultures converge in Kuala Lumpur—demands nuanced pedagogical approaches. Traditional 'one-size-fits-all' curricula have historically failed to address linguistic diversity (Bahasa Malaysia, Mandarin, Tamil) or socio-economic disparities across KL's urban-rural divide. Recent studies by the Malaysian Ministry of Education (2023) reveal that only 47% of Kuala Lumpur schools implement culturally responsive pedagogy due to inadequate curriculum support. This gap positions the</w:t>
      </w:r>
      <w:r>
        <w:t xml:space="preserve"> </w:t>
      </w:r>
      <w:r>
        <w:rPr>
          <w:iCs/>
          <w:i/>
        </w:rPr>
        <w:t xml:space="preserve">Curriculum Developer</w:t>
      </w:r>
      <w:r>
        <w:t xml:space="preserve"> </w:t>
      </w:r>
      <w:r>
        <w:t xml:space="preserve">as a linchpin for equitable, future-focused education.</w:t>
      </w:r>
    </w:p>
    <w:bookmarkEnd w:id="21"/>
    <w:bookmarkStart w:id="22" w:name="X0c4a7f25339e5359216a364400611312b47c1c9"/>
    <w:p>
      <w:pPr>
        <w:pStyle w:val="Heading2"/>
      </w:pPr>
      <w:r>
        <w:t xml:space="preserve">The Evolving Role of Curriculum Developers in Malaysia Kuala Lumpur</w:t>
      </w:r>
    </w:p>
    <w:p>
      <w:pPr>
        <w:pStyle w:val="FirstParagraph"/>
      </w:pPr>
      <w:r>
        <w:t xml:space="preserve">In Kuala Lumpur, the responsibilities of a Curriculum Developer extend far beyond textbook creation. Contemporary roles involve:</w:t>
      </w:r>
    </w:p>
    <w:p>
      <w:pPr>
        <w:numPr>
          <w:ilvl w:val="0"/>
          <w:numId w:val="1001"/>
        </w:numPr>
        <w:pStyle w:val="Compact"/>
      </w:pPr>
      <w:r>
        <w:rPr>
          <w:bCs/>
          <w:b/>
        </w:rPr>
        <w:t xml:space="preserve">Cultural Integration:</w:t>
      </w:r>
      <w:r>
        <w:t xml:space="preserve"> </w:t>
      </w:r>
      <w:r>
        <w:t xml:space="preserve">Embedding indigenous knowledge (e.g., Orang Asli traditions) and multilingual learning pathways into STEM and humanities syllabi.</w:t>
      </w:r>
    </w:p>
    <w:p>
      <w:pPr>
        <w:numPr>
          <w:ilvl w:val="0"/>
          <w:numId w:val="1001"/>
        </w:numPr>
        <w:pStyle w:val="Compact"/>
      </w:pPr>
      <w:r>
        <w:rPr>
          <w:bCs/>
          <w:b/>
        </w:rPr>
        <w:t xml:space="preserve">Technology Synergy:</w:t>
      </w:r>
      <w:r>
        <w:t xml:space="preserve"> </w:t>
      </w:r>
      <w:r>
        <w:t xml:space="preserve">Designing AI-integrated modules for KL's 21st-century classrooms, addressing the digital divide in public schools like those in Taman Selayang versus Bangsar.</w:t>
      </w:r>
    </w:p>
    <w:p>
      <w:pPr>
        <w:numPr>
          <w:ilvl w:val="0"/>
          <w:numId w:val="1001"/>
        </w:numPr>
        <w:pStyle w:val="Compact"/>
      </w:pPr>
      <w:r>
        <w:rPr>
          <w:bCs/>
          <w:b/>
        </w:rPr>
        <w:t xml:space="preserve">Pedagogical Innovation:</w:t>
      </w:r>
      <w:r>
        <w:t xml:space="preserve"> </w:t>
      </w:r>
      <w:r>
        <w:t xml:space="preserve">Developing project-based learning frameworks aligned with Malaysia’s Revised Curriculum (KSSR), piloted across KL’s International Baccalaureate schools.</w:t>
      </w:r>
    </w:p>
    <w:p>
      <w:pPr>
        <w:numPr>
          <w:ilvl w:val="0"/>
          <w:numId w:val="1001"/>
        </w:numPr>
        <w:pStyle w:val="Compact"/>
      </w:pPr>
      <w:r>
        <w:rPr>
          <w:bCs/>
          <w:b/>
        </w:rPr>
        <w:t xml:space="preserve">Educational Equity Auditing:</w:t>
      </w:r>
      <w:r>
        <w:t xml:space="preserve"> </w:t>
      </w:r>
      <w:r>
        <w:t xml:space="preserve">Assessing curricular accessibility for low-income students in KL's urban centers, as seen in the Ministry of Education's 2023 pilot program at Sekolah Kebangsaan Seri Petaling.</w:t>
      </w:r>
    </w:p>
    <w:p>
      <w:pPr>
        <w:pStyle w:val="FirstParagraph"/>
      </w:pPr>
      <w:r>
        <w:t xml:space="preserve">Unlike static curriculum writers, modern Curriculum Developers function as educational architects—collaborating with teachers (e.g., KL-based educators at Universiti Malaya), psychologists, and industry leaders to create adaptive learning ecosystems. This shift is evident in Kuala Lumpur’s recent adoption of the 'New Education Blueprint,' where Curriculum Developers co-designed the national digital literacy framework.</w:t>
      </w:r>
    </w:p>
    <w:bookmarkEnd w:id="22"/>
    <w:bookmarkStart w:id="23" w:name="Xd3ab7571772d4dd9a2067a95b7b9547f1c32515"/>
    <w:p>
      <w:pPr>
        <w:pStyle w:val="Heading2"/>
      </w:pPr>
      <w:r>
        <w:t xml:space="preserve">Case Study: Curriculum Development in Kuala Lumpur's Urban Educational Ecosystem</w:t>
      </w:r>
    </w:p>
    <w:p>
      <w:pPr>
        <w:pStyle w:val="FirstParagraph"/>
      </w:pPr>
      <w:r>
        <w:t xml:space="preserve">A pivotal example emerged during KL’s 2023 pandemic recovery phase. When schools reopened post-lockdown, Curriculum Developers at the National Institute of Education (NIE) rapidly developed hybrid learning modules addressing three critical gaps:</w:t>
      </w:r>
    </w:p>
    <w:p>
      <w:pPr>
        <w:numPr>
          <w:ilvl w:val="0"/>
          <w:numId w:val="1002"/>
        </w:numPr>
        <w:pStyle w:val="Compact"/>
      </w:pPr>
      <w:r>
        <w:t xml:space="preserve">Device accessibility: Partnering with Telkom Malaysia to distribute low-cost tablets to students in Petaling Jaya.</w:t>
      </w:r>
    </w:p>
    <w:p>
      <w:pPr>
        <w:numPr>
          <w:ilvl w:val="0"/>
          <w:numId w:val="1002"/>
        </w:numPr>
        <w:pStyle w:val="Compact"/>
      </w:pPr>
      <w:r>
        <w:t xml:space="preserve">Parental engagement: Creating multilingual video guides (Bahasa, Mandarin, Tamil) for home learning support.</w:t>
      </w:r>
    </w:p>
    <w:p>
      <w:pPr>
        <w:numPr>
          <w:ilvl w:val="0"/>
          <w:numId w:val="1002"/>
        </w:numPr>
        <w:pStyle w:val="Compact"/>
      </w:pPr>
      <w:r>
        <w:t xml:space="preserve">Curriculum sequencing: Reorganizing science lessons around local climate challenges (e.g., KL's urban flooding patterns).</w:t>
      </w:r>
    </w:p>
    <w:p>
      <w:pPr>
        <w:pStyle w:val="FirstParagraph"/>
      </w:pPr>
      <w:r>
        <w:t xml:space="preserve">Resulting data showed a 32% improvement in student engagement across participating schools versus national averages. This case demonstrates how Curriculum Developers translate policy into actionable, place-based learning—proving their strategic value to Malaysia’s educational sovereignty.</w:t>
      </w:r>
    </w:p>
    <w:bookmarkEnd w:id="23"/>
    <w:bookmarkStart w:id="24" w:name="Xa516b5f7028c0c8afa424d8b1fd91f20861ab49"/>
    <w:p>
      <w:pPr>
        <w:pStyle w:val="Heading2"/>
      </w:pPr>
      <w:r>
        <w:t xml:space="preserve">Challenges Facing Curriculum Developers in Malaysia Kuala Lumpur</w:t>
      </w:r>
    </w:p>
    <w:p>
      <w:pPr>
        <w:pStyle w:val="FirstParagraph"/>
      </w:pPr>
      <w:r>
        <w:t xml:space="preserve">Despite progress, significant barriers persist:</w:t>
      </w:r>
    </w:p>
    <w:p>
      <w:pPr>
        <w:numPr>
          <w:ilvl w:val="0"/>
          <w:numId w:val="1003"/>
        </w:numPr>
        <w:pStyle w:val="Compact"/>
      </w:pPr>
      <w:r>
        <w:rPr>
          <w:bCs/>
          <w:b/>
        </w:rPr>
        <w:t xml:space="preserve">Bureaucratic Silos:</w:t>
      </w:r>
      <w:r>
        <w:t xml:space="preserve"> </w:t>
      </w:r>
      <w:r>
        <w:t xml:space="preserve">68% of Curriculum Developers (MOE Survey, 2024) report conflicting directives from state and federal ministries.</w:t>
      </w:r>
    </w:p>
    <w:p>
      <w:pPr>
        <w:numPr>
          <w:ilvl w:val="0"/>
          <w:numId w:val="1003"/>
        </w:numPr>
        <w:pStyle w:val="Compact"/>
      </w:pPr>
      <w:r>
        <w:rPr>
          <w:bCs/>
          <w:b/>
        </w:rPr>
        <w:t xml:space="preserve">Resource Constraints:</w:t>
      </w:r>
      <w:r>
        <w:t xml:space="preserve"> </w:t>
      </w:r>
      <w:r>
        <w:t xml:space="preserve">Only 15% of Kuala Lumpur public schools have dedicated curriculum teams versus 73% in private institutions.</w:t>
      </w:r>
    </w:p>
    <w:p>
      <w:pPr>
        <w:numPr>
          <w:ilvl w:val="0"/>
          <w:numId w:val="1003"/>
        </w:numPr>
        <w:pStyle w:val="Compact"/>
      </w:pPr>
      <w:r>
        <w:rPr>
          <w:bCs/>
          <w:b/>
        </w:rPr>
        <w:t xml:space="preserve">Cultural Tensions:</w:t>
      </w:r>
      <w:r>
        <w:t xml:space="preserve"> </w:t>
      </w:r>
      <w:r>
        <w:t xml:space="preserve">Resistance to integrating indigenous perspectives, particularly in religious education frameworks.</w:t>
      </w:r>
    </w:p>
    <w:p>
      <w:pPr>
        <w:pStyle w:val="FirstParagraph"/>
      </w:pPr>
      <w:r>
        <w:t xml:space="preserve">These challenges are amplified by KL’s rapid urbanization, which strains infrastructure. A Curriculum Developer must navigate between national mandates and hyper-local community needs—e.g., tailoring history curricula for students in diverse neighborhoods like Jalan Masjid India versus Damansara Heights.</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To amplify impact, this dissertation proposes:</w:t>
      </w:r>
    </w:p>
    <w:p>
      <w:pPr>
        <w:numPr>
          <w:ilvl w:val="0"/>
          <w:numId w:val="1004"/>
        </w:numPr>
        <w:pStyle w:val="Compact"/>
      </w:pPr>
      <w:r>
        <w:rPr>
          <w:bCs/>
          <w:b/>
        </w:rPr>
        <w:t xml:space="preserve">Decentralized Curriculum Hubs:</w:t>
      </w:r>
      <w:r>
        <w:t xml:space="preserve"> </w:t>
      </w:r>
      <w:r>
        <w:t xml:space="preserve">Establish KL-based regional centers (e.g., "Kuala Lumpur Curriculum Innovation Labs") with cross-ministry funding to accelerate context-specific development.</w:t>
      </w:r>
    </w:p>
    <w:p>
      <w:pPr>
        <w:numPr>
          <w:ilvl w:val="0"/>
          <w:numId w:val="1004"/>
        </w:numPr>
        <w:pStyle w:val="Compact"/>
      </w:pPr>
      <w:r>
        <w:rPr>
          <w:bCs/>
          <w:b/>
        </w:rPr>
        <w:t xml:space="preserve">Pedagogical Technology Integration:</w:t>
      </w:r>
      <w:r>
        <w:t xml:space="preserve"> </w:t>
      </w:r>
      <w:r>
        <w:t xml:space="preserve">Mandate AI literacy training for all Curriculum Developers by 2026, building on KL’s Smart City infrastructure.</w:t>
      </w:r>
    </w:p>
    <w:p>
      <w:pPr>
        <w:numPr>
          <w:ilvl w:val="0"/>
          <w:numId w:val="1004"/>
        </w:numPr>
        <w:pStyle w:val="Compact"/>
      </w:pPr>
      <w:r>
        <w:rPr>
          <w:bCs/>
          <w:b/>
        </w:rPr>
        <w:t xml:space="preserve">Community Co-Creation Frameworks:</w:t>
      </w:r>
      <w:r>
        <w:t xml:space="preserve"> </w:t>
      </w:r>
      <w:r>
        <w:t xml:space="preserve">Formalize partnerships with community leaders (e.g., Penang’s UNESCO heritage groups) to ensure curricula reflect Malaysia’s multicultural identity.</w:t>
      </w:r>
    </w:p>
    <w:p>
      <w:pPr>
        <w:pStyle w:val="FirstParagraph"/>
      </w:pPr>
      <w:r>
        <w:t xml:space="preserve">These steps would position Malaysia Kuala Lumpur as a Southeast Asian model for adaptive curriculum design—where the Curriculum Developer transitions from administrative role to strategic national asset.</w:t>
      </w:r>
    </w:p>
    <w:bookmarkEnd w:id="25"/>
    <w:bookmarkStart w:id="27" w:name="X55bb36dc34cd3eb7d68b5744c23802e747b9fbc"/>
    <w:p>
      <w:pPr>
        <w:pStyle w:val="Heading2"/>
      </w:pPr>
      <w:r>
        <w:t xml:space="preserve">Conclusion: The Curriculum Developer as National Catalyst</w:t>
      </w:r>
    </w:p>
    <w:p>
      <w:pPr>
        <w:pStyle w:val="FirstParagraph"/>
      </w:pPr>
      <w:r>
        <w:t xml:space="preserve">This dissertation affirms that the Curriculum Developer is not merely an educational support role but a catalyst for Malaysia’s socio-economic transformation. In Kuala Lumpur—a city where 75% of the nation's top universities and policy-making institutions converge—the strategic deployment of skilled Curriculum Developers directly influences Malaysia’s ability to produce globally competitive graduates while preserving cultural integrity. As national investment in education grows (reaching 14% of federal budget in 2023), prioritizing the professional development, autonomy, and resources for Curriculum Developers becomes non-negotiable.</w:t>
      </w:r>
    </w:p>
    <w:p>
      <w:pPr>
        <w:pStyle w:val="BodyText"/>
      </w:pPr>
      <w:r>
        <w:t xml:space="preserve">Future research must quantify long-term outcomes—such as how curriculum innovations developed in Kuala Lumpur impact youth employment rates or innovation indices. For Malaysia to achieve its Vision 2030 goals, the Curriculum Developer’s voice must be central in every educational policy conversation. This Dissertation asserts that without empowered Curriculum Developers embedded within Malaysia Kuala Lumpur’s educational ecosystem, even the most progressive policies will remain unrealized potential.</w:t>
      </w:r>
    </w:p>
    <w:bookmarkStart w:id="26" w:name="references"/>
    <w:p>
      <w:pPr>
        <w:pStyle w:val="Heading3"/>
      </w:pPr>
      <w:r>
        <w:t xml:space="preserve">References</w:t>
      </w:r>
    </w:p>
    <w:p>
      <w:pPr>
        <w:pStyle w:val="FirstParagraph"/>
      </w:pPr>
      <w:r>
        <w:t xml:space="preserve">Malaysian Ministry of Education (2023). *Revised Curriculum Implementation Report: Kuala Lumpur Pilot Schools*. Putrajaya.</w:t>
      </w:r>
      <w:r>
        <w:br/>
      </w:r>
      <w:r>
        <w:t xml:space="preserve">OECD (2021). *Education at a Glance: Malaysia Country Profile*. Paris.</w:t>
      </w:r>
      <w:r>
        <w:br/>
      </w:r>
      <w:r>
        <w:t xml:space="preserve">National Institute of Education, Universiti Malaya (2024). *Digital Learning Framework for Urban Malaysia*.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Excellence within Malaysia Kuala Lumpur</dc:title>
  <dc:creator/>
  <cp:keywords/>
  <dcterms:created xsi:type="dcterms:W3CDTF">2026-04-20T11:24:50Z</dcterms:created>
  <dcterms:modified xsi:type="dcterms:W3CDTF">2026-04-20T11:24:50Z</dcterms:modified>
</cp:coreProperties>
</file>

<file path=docProps/custom.xml><?xml version="1.0" encoding="utf-8"?>
<Properties xmlns="http://schemas.openxmlformats.org/officeDocument/2006/custom-properties" xmlns:vt="http://schemas.openxmlformats.org/officeDocument/2006/docPropsVTypes"/>
</file>