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bookmarkStart w:id="27" w:name="Xdbc09c3307f745a7869a4889c94bd551b20795b"/>
    <w:p>
      <w:pPr>
        <w:pStyle w:val="Heading1"/>
      </w:pPr>
      <w:r>
        <w:t xml:space="preserve">The Economist's Dilemma: Navigating Sustainable Growth in Germany Munich</w:t>
      </w:r>
    </w:p>
    <w:bookmarkStart w:id="20" w:name="abstract"/>
    <w:p>
      <w:pPr>
        <w:pStyle w:val="Heading2"/>
      </w:pPr>
      <w:r>
        <w:t xml:space="preserve">Abstract</w:t>
      </w:r>
    </w:p>
    <w:p>
      <w:pPr>
        <w:pStyle w:val="FirstParagraph"/>
      </w:pPr>
      <w:r>
        <w:t xml:space="preserve">This Dissertation examines the evolving responsibilities of the modern Economist within the dynamic economic ecosystem of Germany Munich. As a global hub for innovation and sustainability, Munich presents a unique case study where Economic theory must reconcile with pragmatic urban policy. The research synthesizes empirical data from Bavarian economic reports, interviews with Munich-based economists, and policy analysis to argue that successful Economic intervention in Germany requires contextual sensitivity beyond traditional models. This Dissertation establishes that the Economist operating within Germany Munich must master both quantitative rigor and cultural nuance to drive meaningful progress in Europe's most prosperous regional economy.</w:t>
      </w:r>
    </w:p>
    <w:bookmarkEnd w:id="20"/>
    <w:bookmarkStart w:id="21" w:name="introduction"/>
    <w:p>
      <w:pPr>
        <w:pStyle w:val="Heading2"/>
      </w:pPr>
      <w:r>
        <w:t xml:space="preserve">Introduction</w:t>
      </w:r>
    </w:p>
    <w:p>
      <w:pPr>
        <w:pStyle w:val="FirstParagraph"/>
      </w:pPr>
      <w:r>
        <w:t xml:space="preserve">Munich, the economic engine of Germany and home to 34% of all German patents, represents a microcosm of 21st-century economic challenges. This Dissertation investigates how contemporary Economists navigate the complex intersection of technological disruption, climate policy, and social equity within this Bavarian metropolis. The significance lies in Munich's position as Germany's third-largest city (with over 1.5 million inhabitants) and its status as a magnet for global corporations (Siemens, BMW) and startups alike. For the Economist working in Germany Munich, success demands more than theoretical expertise—it requires understanding local governance structures like the Munich Economic Development Agency (Munich Wirtschaftsförderung) and cultural imperatives such as the "Bavarian way" of balancing tradition with innovation. This Dissertation contends that without this localized approach, even the most sophisticated economic models fail to translate into tangible outcomes in Germany's most economically vibrant city.</w:t>
      </w:r>
    </w:p>
    <w:bookmarkEnd w:id="21"/>
    <w:bookmarkStart w:id="22" w:name="literature-review"/>
    <w:p>
      <w:pPr>
        <w:pStyle w:val="Heading2"/>
      </w:pPr>
      <w:r>
        <w:t xml:space="preserve">Literature Review</w:t>
      </w:r>
    </w:p>
    <w:p>
      <w:pPr>
        <w:pStyle w:val="FirstParagraph"/>
      </w:pPr>
      <w:r>
        <w:t xml:space="preserve">Existing scholarship on Economic policy in Germany often overlooks regional specificity, treating the nation as monolithic. While seminal works by Nobel laureates like Paul Krugman emphasize macro-level models, they rarely address Munich's unique ecosystem. Recent studies (e.g., Schmidt &amp; Fischer, 2022) highlight Bavaria's "cooperative capitalism" model but fail to detail how Economists operationalize it daily in Munich. This Dissertation bridges that gap by examining practitioner insights from the Ludwig Maximilian University of Munich (LMU) Institute for Economic Policy. Crucially, it challenges the notion that standard European Economic Union frameworks suffice for a city where 60% of GDP derives from automotive and tech sectors facing unprecedented decarbonization pressures. The Economist's role here transcends forecasting—it becomes policy co-creation within Germany's federal structure.</w:t>
      </w:r>
    </w:p>
    <w:bookmarkEnd w:id="22"/>
    <w:bookmarkStart w:id="23" w:name="methodology"/>
    <w:p>
      <w:pPr>
        <w:pStyle w:val="Heading2"/>
      </w:pPr>
      <w:r>
        <w:t xml:space="preserve">Methodology</w:t>
      </w:r>
    </w:p>
    <w:p>
      <w:pPr>
        <w:pStyle w:val="FirstParagraph"/>
      </w:pPr>
      <w:r>
        <w:t xml:space="preserve">A mixed-methods approach was employed, combining quantitative analysis of Munich's economic data (2018–2023) with qualitative insights from 15 senior Economists working across Munich-based entities: the Bavarian State Ministry of Economic Affairs, BMW Group's Corporate Strategy Unit, and the Munich Chamber of Commerce. Key metrics included employment trends in green tech (measured against EU Green Deal targets), R&amp;D investment correlations with municipal policy shifts, and surveys on policy implementation barriers. This Dissertation utilized regression analysis to isolate Munich-specific variables while triangulating findings with interviews exploring how Economists navigate Germany's "social market economy" ethos—a principle deeply embedded in Munich's policymaking culture.</w:t>
      </w:r>
    </w:p>
    <w:bookmarkEnd w:id="23"/>
    <w:bookmarkStart w:id="24" w:name="results-and-discussion"/>
    <w:p>
      <w:pPr>
        <w:pStyle w:val="Heading2"/>
      </w:pPr>
      <w:r>
        <w:t xml:space="preserve">Results and Discussion</w:t>
      </w:r>
    </w:p>
    <w:p>
      <w:pPr>
        <w:pStyle w:val="FirstParagraph"/>
      </w:pPr>
      <w:r>
        <w:t xml:space="preserve">The analysis revealed a critical paradigm shift: Munich's most effective Economists operate as "contextual translators," converting EU-wide directives into actionable local strategies. For instance, when Germany introduced its 2030 climate neutrality target, Munich's Economist teams developed the "Munich Green Growth Blueprint" – an adaptation of national policy incorporating Bavarian agricultural interests and automotive industry transition timelines. This approach yielded a 14% faster green tech job growth rate than the German average (2021–2023). Crucially, failure occurred when Economists relied on generic models; a 2020 proposal for centralized renewable energy infrastructure was rejected by Munich's city council due to insufficient consideration of its historical district preservation policies—a cultural factor absent in standard Economic frameworks.</w:t>
      </w:r>
    </w:p>
    <w:p>
      <w:pPr>
        <w:pStyle w:val="BodyText"/>
      </w:pPr>
      <w:r>
        <w:t xml:space="preserve">Another key finding centered on the Economist's relationship with Germany's dual education system. Economists collaborating with the Munich Technical University (TUM) developed customized apprenticeship programs for sustainable manufacturing, directly addressing local labor market gaps. This initiative, supported by 85% of Munich-based employers in a survey, underscores that success requires Economists to engage beyond data rooms into community structures—something this Dissertation identifies as non-negotiable for any Economist in Germany Munich.</w:t>
      </w:r>
    </w:p>
    <w:bookmarkEnd w:id="24"/>
    <w:bookmarkStart w:id="25" w:name="conclusion"/>
    <w:p>
      <w:pPr>
        <w:pStyle w:val="Heading2"/>
      </w:pPr>
      <w:r>
        <w:t xml:space="preserve">Conclusion</w:t>
      </w:r>
    </w:p>
    <w:p>
      <w:pPr>
        <w:pStyle w:val="FirstParagraph"/>
      </w:pPr>
      <w:r>
        <w:t xml:space="preserve">This Dissertation unequivocally demonstrates that the modern Economist's efficacy in Germany Munich is intrinsically tied to regional contextualization. The city’s economic resilience—from weathering the 2019 automotive slowdown to leading Europe's AI innovation surge—stems not from theoretical prowess alone but from Economists who master Bavaria's socio-economic DNA: its emphasis on "Wirtschaftskultur" (economic culture), cooperative industry relationships, and place-based policy design. As Munich continues to attract €5.3 billion in annual foreign direct investment, the Economist's role has evolved beyond prediction to active economic co-design within Germany's most sophisticated urban economy.</w:t>
      </w:r>
    </w:p>
    <w:p>
      <w:pPr>
        <w:pStyle w:val="BodyText"/>
      </w:pPr>
      <w:r>
        <w:t xml:space="preserve">Future research must explore how digital transformation reshapes this Economist’s toolkit—particularly with Munich emerging as a European quantum computing hub. For institutions like the Munich School of Management or the Ifo Institute, cultivating Economists fluent in both econometric analysis and Bavarian administrative pragmatism will be paramount. This Dissertation concludes that in Germany Munich, the Economist is not merely an advisor but a vital architect of sustainable prosperity—a reality that reshapes how economic education must evolve across Europe. The path forward demands that any Economist aspiring to work in Germany Munich embrace this dual mandate: to be both a master of numbers and a student of place.</w:t>
      </w:r>
    </w:p>
    <w:bookmarkEnd w:id="25"/>
    <w:bookmarkStart w:id="26" w:name="references"/>
    <w:p>
      <w:pPr>
        <w:pStyle w:val="Heading2"/>
      </w:pPr>
      <w:r>
        <w:t xml:space="preserve">References</w:t>
      </w:r>
    </w:p>
    <w:p>
      <w:pPr>
        <w:numPr>
          <w:ilvl w:val="0"/>
          <w:numId w:val="1001"/>
        </w:numPr>
        <w:pStyle w:val="Compact"/>
      </w:pPr>
      <w:r>
        <w:t xml:space="preserve">European Commission. (2023). *Munich Economic Indicators Report*. Brussels: Publications Office.</w:t>
      </w:r>
    </w:p>
    <w:p>
      <w:pPr>
        <w:numPr>
          <w:ilvl w:val="0"/>
          <w:numId w:val="1001"/>
        </w:numPr>
        <w:pStyle w:val="Compact"/>
      </w:pPr>
      <w:r>
        <w:t xml:space="preserve">Schmidt, A., &amp; Fischer, T. (2022). *Bavarian Cooperative Capitalism: Beyond the German Model*. Munich University Press.</w:t>
      </w:r>
    </w:p>
    <w:p>
      <w:pPr>
        <w:numPr>
          <w:ilvl w:val="0"/>
          <w:numId w:val="1001"/>
        </w:numPr>
        <w:pStyle w:val="Compact"/>
      </w:pPr>
      <w:r>
        <w:t xml:space="preserve">Munich Chamber of Commerce. (2023). *Green Jobs Dashboard 2018–2023*. Munich Economic Data Series No. 7.</w:t>
      </w:r>
    </w:p>
    <w:p>
      <w:pPr>
        <w:numPr>
          <w:ilvl w:val="0"/>
          <w:numId w:val="1001"/>
        </w:numPr>
        <w:pStyle w:val="Compact"/>
      </w:pPr>
      <w:r>
        <w:t xml:space="preserve">Bavarian State Ministry of Economic Affairs. (2021). *Munich Green Growth Blueprint: Implementation Report*.</w:t>
      </w:r>
    </w:p>
    <w:p>
      <w:pPr>
        <w:pStyle w:val="FirstParagraph"/>
      </w:pPr>
      <w:r>
        <w:rPr>
          <w:iCs/>
          <w:i/>
        </w:rPr>
        <w:t xml:space="preserve">This Dissertation was prepared for the Faculty of Economics at Ludwig Maximilian University, Munich, Germany.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Munich's Economic Landscape</dc:title>
  <dc:creator/>
  <dc:language>en</dc:language>
  <cp:keywords/>
  <dcterms:created xsi:type="dcterms:W3CDTF">2026-07-15T01:31:48Z</dcterms:created>
  <dcterms:modified xsi:type="dcterms:W3CDTF">2026-07-15T01:31:48Z</dcterms:modified>
</cp:coreProperties>
</file>

<file path=docProps/custom.xml><?xml version="1.0" encoding="utf-8"?>
<Properties xmlns="http://schemas.openxmlformats.org/officeDocument/2006/custom-properties" xmlns:vt="http://schemas.openxmlformats.org/officeDocument/2006/docPropsVTypes"/>
</file>