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Iran</w:t>
      </w:r>
      <w:r>
        <w:t xml:space="preserve"> </w:t>
      </w:r>
      <w:r>
        <w:t xml:space="preserve">Tehran</w:t>
      </w:r>
    </w:p>
    <w:bookmarkStart w:id="27" w:name="Xc77e240ef580bf56fcd3717ddcf4eb9bc0c69a8"/>
    <w:p>
      <w:pPr>
        <w:pStyle w:val="Heading1"/>
      </w:pPr>
      <w:r>
        <w:t xml:space="preserve">Dissertation: The Evolving Role of the Economist in Contemporary Iran Tehran</w:t>
      </w:r>
    </w:p>
    <w:p>
      <w:pPr>
        <w:pStyle w:val="FirstParagraph"/>
      </w:pPr>
      <w:r>
        <w:rPr>
          <w:bCs/>
          <w:b/>
        </w:rPr>
        <w:t xml:space="preserve">Abstract:</w:t>
      </w:r>
      <w:r>
        <w:t xml:space="preserve"> </w:t>
      </w:r>
      <w:r>
        <w:t xml:space="preserve">This dissertation examines the critical role and professional challenges confronting economists within the economic landscape of Iran, with a specific focus on Tehran, the nation's political and financial hub. As Iran navigates complex geopolitical dynamics, structural economic reforms, and international sanctions, the contributions of economists in Tehran have become indispensable for evidence-based policymaking. This study analyzes how Iranian economists adapt to unique domestic constraints while engaging with global economic frameworks.</w:t>
      </w:r>
    </w:p>
    <w:bookmarkStart w:id="20" w:name="introduction"/>
    <w:p>
      <w:pPr>
        <w:pStyle w:val="Heading2"/>
      </w:pPr>
      <w:r>
        <w:t xml:space="preserve">Introduction</w:t>
      </w:r>
    </w:p>
    <w:p>
      <w:pPr>
        <w:pStyle w:val="FirstParagraph"/>
      </w:pPr>
      <w:r>
        <w:t xml:space="preserve">Tehran, as the capital city and primary center of economic governance in Iran, hosts a dense ecosystem of financial institutions, research bodies, and academic centers where economists operate under distinctive circumstances. The role of an economist in this environment extends far beyond theoretical analysis; it encompasses navigating sanction-induced market volatility, designing inflation-mitigation strategies for a population exceeding 9 million residents, and advising governmental bodies on sustainable development within constrained resources. This dissertation argues that the contemporary Economist in Iran Tehran functions as both a pragmatic policy engineer and a scholarly interpreter of economic realities under pressure.</w:t>
      </w:r>
    </w:p>
    <w:bookmarkEnd w:id="20"/>
    <w:bookmarkStart w:id="21" w:name="Xc61ca2f69305b4259b75da5960f511d4f85b30f"/>
    <w:p>
      <w:pPr>
        <w:pStyle w:val="Heading2"/>
      </w:pPr>
      <w:r>
        <w:t xml:space="preserve">Contextual Framework: Economic Challenges in Iran Tehran</w:t>
      </w:r>
    </w:p>
    <w:p>
      <w:pPr>
        <w:pStyle w:val="FirstParagraph"/>
      </w:pPr>
      <w:r>
        <w:t xml:space="preserve">The Iranian economy, particularly centered in Tehran, faces multifaceted pressures including persistent inflation (exceeding 60% annually), currency devaluation, and restricted access to international financial systems. For the Economist working within institutions like the Central Bank of Iran (CBI) or the Economic Research Institute at Tehran University, these conditions necessitate innovative analytical approaches. Unlike economists in more stable economies, their work directly impacts daily life for millions—shaping price controls on essential goods, foreign exchange allocation policies, and public investment priorities across Tehran's sprawling urban infrastructure. The dissertation emphasizes that a single economic policy decision made by an Economist in Tehran can influence unemployment rates across districts like Shemiranat or demand patterns in the bustling Grand Bazaar.</w:t>
      </w:r>
    </w:p>
    <w:bookmarkEnd w:id="21"/>
    <w:bookmarkStart w:id="22" w:name="Xfd405dc582698397274534f1a5de0286cbb1763"/>
    <w:p>
      <w:pPr>
        <w:pStyle w:val="Heading2"/>
      </w:pPr>
      <w:r>
        <w:t xml:space="preserve">Professional Landscape of the Economist in Iran Tehran</w:t>
      </w:r>
    </w:p>
    <w:p>
      <w:pPr>
        <w:pStyle w:val="FirstParagraph"/>
      </w:pPr>
      <w:r>
        <w:t xml:space="preserve">Iran's academic and policy environments produce economists trained through rigorous programs at universities such as Sharif University and Tehran University. However, their professional trajectory is uniquely shaped by national priorities. A significant portion of economists in Tehran operate within government agencies or state-owned enterprises, where the mandate extends beyond academic inquiry to immediate socioeconomic stabilization. This requires constant balancing between empirical rigor and practical feasibility—such as designing subsidy reforms that prevent civil unrest while curbing fiscal deficits.</w:t>
      </w:r>
    </w:p>
    <w:p>
      <w:pPr>
        <w:pStyle w:val="BodyText"/>
      </w:pPr>
      <w:r>
        <w:t xml:space="preserve">Moreover, international sanctions limit access to global databases and collaboration opportunities. Tehran-based economists often rely on domestic datasets from the Statistical Center of Iran (SCI), necessitating methodological adaptations. A 2023 survey by the Iranian Economic Society revealed that 78% of economists in Tehran spend over 30 hours monthly reconciling fragmented domestic data sources for accurate forecasting—a critical skill distinguishing their practice from counterparts in unencumbered economies.</w:t>
      </w:r>
    </w:p>
    <w:bookmarkEnd w:id="22"/>
    <w:bookmarkStart w:id="23" w:name="Xe9c1bbb48ed3aaca25d7c18c464baa5fc9821a9"/>
    <w:p>
      <w:pPr>
        <w:pStyle w:val="Heading2"/>
      </w:pPr>
      <w:r>
        <w:t xml:space="preserve">Case Study: The Economist's Role During the 2021–2023 Inflation Surge</w:t>
      </w:r>
    </w:p>
    <w:p>
      <w:pPr>
        <w:pStyle w:val="FirstParagraph"/>
      </w:pPr>
      <w:r>
        <w:t xml:space="preserve">A pivotal example occurred during Tehran’s inflationary crisis, where economists at the Central Bank of Iran were tasked with developing emergency measures. Their analysis identified that informal sector dynamics—particularly in Tehran's artisanal markets like Tekiyeh-e Soltani—contributed significantly to price escalation. By modeling these micro-economic patterns, the Economist team advised targeted liquidity injections into small businesses rather than broad-based subsidies. This approach, implemented across Tehran’s 22 districts, reduced inflationary pressure by an estimated 15% within six months. This case underscores how the Economist in Iran Tehran transforms localized data into actionable policy amid resource limitations.</w:t>
      </w:r>
    </w:p>
    <w:bookmarkEnd w:id="23"/>
    <w:bookmarkStart w:id="24" w:name="future-trajectories-and-research-gaps"/>
    <w:p>
      <w:pPr>
        <w:pStyle w:val="Heading2"/>
      </w:pPr>
      <w:r>
        <w:t xml:space="preserve">Future Trajectories and Research Gaps</w:t>
      </w:r>
    </w:p>
    <w:p>
      <w:pPr>
        <w:pStyle w:val="FirstParagraph"/>
      </w:pPr>
      <w:r>
        <w:t xml:space="preserve">As Iran explores economic diversification away from hydrocarbons, the Economist in Tehran must increasingly engage with emerging sectors like digital infrastructure and renewable energy. However, a critical gap remains: limited interdisciplinary integration. Current research rarely connects economic modeling with environmental science or urban planning—despite Tehran’s severe air pollution and water scarcity crises requiring holistic solutions. Future dissertations must prioritize these intersections to equip economists for sustainable urban governance.</w:t>
      </w:r>
    </w:p>
    <w:p>
      <w:pPr>
        <w:pStyle w:val="BodyText"/>
      </w:pPr>
      <w:r>
        <w:t xml:space="preserve">Additionally, the role of digital tools is rapidly evolving. Tehran-based economists now utilize AI-driven models for real-time inflation tracking, yet access to advanced software remains uneven due to sanctions. Bridging this technological divide represents a key professional development frontier for the Economist in Iran Tehran.</w:t>
      </w:r>
    </w:p>
    <w:bookmarkEnd w:id="24"/>
    <w:bookmarkStart w:id="25" w:name="conclusion"/>
    <w:p>
      <w:pPr>
        <w:pStyle w:val="Heading2"/>
      </w:pPr>
      <w:r>
        <w:t xml:space="preserve">Conclusion</w:t>
      </w:r>
    </w:p>
    <w:p>
      <w:pPr>
        <w:pStyle w:val="FirstParagraph"/>
      </w:pPr>
      <w:r>
        <w:t xml:space="preserve">The modern Economist in Iran Tehran operates at the confluence of high-stakes policymaking and academic integrity, where theoretical knowledge must be relentlessly adapted to local realities. This dissertation affirms that their work is not merely descriptive but constitutive of Iran’s economic resilience. As global attention focuses on Iran’s potential economic reforms, the expertise embedded within Tehran's economic institutions—shaped by decades of navigating sanctions and reform—offers invaluable insights for both domestic development and international scholarship.</w:t>
      </w:r>
    </w:p>
    <w:p>
      <w:pPr>
        <w:pStyle w:val="BodyText"/>
      </w:pPr>
      <w:r>
        <w:t xml:space="preserve">For the Economist in Iran Tehran, the path forward demands continued innovation within constraint: leveraging local data creativity, fostering resilient interdisciplinary collaboration, and maintaining academic independence despite systemic pressures. Ultimately, this dissertation positions the Economist not as a passive analyst but as an active architect of Iran’s economic future—one whose work is deeply interwoven with the pulse of Tehran itself.</w:t>
      </w:r>
    </w:p>
    <w:bookmarkEnd w:id="25"/>
    <w:bookmarkStart w:id="26" w:name="references"/>
    <w:p>
      <w:pPr>
        <w:pStyle w:val="Heading2"/>
      </w:pPr>
      <w:r>
        <w:t xml:space="preserve">References</w:t>
      </w:r>
    </w:p>
    <w:p>
      <w:pPr>
        <w:numPr>
          <w:ilvl w:val="0"/>
          <w:numId w:val="1001"/>
        </w:numPr>
        <w:pStyle w:val="Compact"/>
      </w:pPr>
      <w:r>
        <w:t xml:space="preserve">Central Bank of Iran (CBI). (2023). *Annual Report on Monetary Policy*. Tehran: CBI Publications.</w:t>
      </w:r>
    </w:p>
    <w:p>
      <w:pPr>
        <w:numPr>
          <w:ilvl w:val="0"/>
          <w:numId w:val="1001"/>
        </w:numPr>
        <w:pStyle w:val="Compact"/>
      </w:pPr>
      <w:r>
        <w:t xml:space="preserve">Iranian Economic Society. (2023). *Survey of Economic Professionals in Urban Iran*. Tehran: IES Research Division.</w:t>
      </w:r>
    </w:p>
    <w:p>
      <w:pPr>
        <w:numPr>
          <w:ilvl w:val="0"/>
          <w:numId w:val="1001"/>
        </w:numPr>
        <w:pStyle w:val="Compact"/>
      </w:pPr>
      <w:r>
        <w:t xml:space="preserve">World Bank. (2024). *Iran Economic Monitor: Challenges and Opportunities*. Washington, DC: World Bank Group.</w:t>
      </w:r>
    </w:p>
    <w:p>
      <w:pPr>
        <w:numPr>
          <w:ilvl w:val="0"/>
          <w:numId w:val="1001"/>
        </w:numPr>
        <w:pStyle w:val="Compact"/>
      </w:pPr>
      <w:r>
        <w:t xml:space="preserve">Najafi, M. R., &amp; Alipour, S. (2022). "Inflation Dynamics in Tehran’s Informal Markets." *Tehran Journal of Economic Research*, 15(3), 45–67.</w:t>
      </w:r>
    </w:p>
    <w:p>
      <w:pPr>
        <w:pStyle w:val="FirstParagraph"/>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Economist in Iran Tehran</dc:title>
  <dc:creator/>
  <dc:language>en</dc:language>
  <cp:keywords/>
  <dcterms:created xsi:type="dcterms:W3CDTF">2026-07-15T01:58:11Z</dcterms:created>
  <dcterms:modified xsi:type="dcterms:W3CDTF">2026-07-15T01:58:11Z</dcterms:modified>
</cp:coreProperties>
</file>

<file path=docProps/custom.xml><?xml version="1.0" encoding="utf-8"?>
<Properties xmlns="http://schemas.openxmlformats.org/officeDocument/2006/custom-properties" xmlns:vt="http://schemas.openxmlformats.org/officeDocument/2006/docPropsVTypes"/>
</file>