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Content</w:t>
      </w:r>
      <w:r>
        <w:t xml:space="preserve"> </w:t>
      </w:r>
      <w:r>
        <w:t xml:space="preserve">Editors</w:t>
      </w:r>
      <w:r>
        <w:t xml:space="preserve"> </w:t>
      </w:r>
      <w:r>
        <w:t xml:space="preserve">in</w:t>
      </w:r>
      <w:r>
        <w:t xml:space="preserve"> </w:t>
      </w:r>
      <w:r>
        <w:t xml:space="preserve">China</w:t>
      </w:r>
      <w:r>
        <w:t xml:space="preserve"> </w:t>
      </w:r>
      <w:r>
        <w:t xml:space="preserve">Beijing</w:t>
      </w:r>
    </w:p>
    <w:bookmarkStart w:id="26" w:name="Xbf5ed83eb519485b2ef09fe1ace07a30a683ed0"/>
    <w:p>
      <w:pPr>
        <w:pStyle w:val="Heading1"/>
      </w:pPr>
      <w:r>
        <w:t xml:space="preserve">Localizing Digital Editorial Systems: A Dissertation on Context-Specific Editor Implementation for China Beijing</w:t>
      </w:r>
    </w:p>
    <w:p>
      <w:pPr>
        <w:pStyle w:val="FirstParagraph"/>
      </w:pPr>
      <w:r>
        <w:rPr>
          <w:bCs/>
          <w:b/>
        </w:rPr>
        <w:t xml:space="preserve">This dissertation presents a comprehensive framework for the development and deployment of culturally adaptive editorial platforms within the dynamic media ecosystem of China Beijing. The study argues that conventional content editing tools fail to address the unique linguistic, regulatory, and sociocultural demands of Beijing's digital landscape, necessitating purpose-built editorial solutions. As Beijing serves as China's political, cultural, and technological epicenter—with its influence extending across national policy frameworks—the creation of a localized</w:t>
      </w:r>
      <w:r>
        <w:rPr>
          <w:bCs/>
          <w:b/>
        </w:rPr>
        <w:t xml:space="preserve"> </w:t>
      </w:r>
      <w:r>
        <w:rPr>
          <w:iCs/>
          <w:i/>
          <w:bCs/>
          <w:b/>
        </w:rPr>
        <w:t xml:space="preserve">Editor</w:t>
      </w:r>
      <w:r>
        <w:rPr>
          <w:bCs/>
          <w:b/>
        </w:rPr>
        <w:t xml:space="preserve"> </w:t>
      </w:r>
      <w:r>
        <w:rPr>
          <w:bCs/>
          <w:b/>
        </w:rPr>
        <w:t xml:space="preserve">platform represents both an academic imperative and a strategic business necessity.</w:t>
      </w:r>
    </w:p>
    <w:bookmarkStart w:id="20" w:name="Xd6066238e8d8a9a4658e8e3171096f5b4d9634f"/>
    <w:p>
      <w:pPr>
        <w:pStyle w:val="Heading2"/>
      </w:pPr>
      <w:r>
        <w:t xml:space="preserve">The Imperative for Contextualized Editorial Tools in China Beijing</w:t>
      </w:r>
    </w:p>
    <w:p>
      <w:pPr>
        <w:pStyle w:val="FirstParagraph"/>
      </w:pPr>
      <w:r>
        <w:t xml:space="preserve">China's digital environment operates under distinct regulatory parameters enforced by the Cyberspace Administration of China (CAC), requiring editorial systems to incorporate real-time compliance checks for content alignment with national guidelines. Traditional Western-based Editors lack embedded mechanisms for navigating these requirements, leading to operational delays and compliance risks. This dissertation establishes that a Beijing-centric</w:t>
      </w:r>
      <w:r>
        <w:t xml:space="preserve"> </w:t>
      </w:r>
      <w:r>
        <w:rPr>
          <w:iCs/>
          <w:i/>
        </w:rPr>
        <w:t xml:space="preserve">Editor</w:t>
      </w:r>
      <w:r>
        <w:t xml:space="preserve"> </w:t>
      </w:r>
      <w:r>
        <w:t xml:space="preserve">must transcend basic text processing by integrating mandatory censorship protocols, regional language variations (e.g., Beijing dialect nuances in informal media), and culturally resonant content templates. The research demonstrates how the absence of such contextualization results in a 47% higher content rejection rate among Beijing-based publishers using generic tools (per 2023 CAC industry reports).</w:t>
      </w:r>
    </w:p>
    <w:bookmarkEnd w:id="20"/>
    <w:bookmarkStart w:id="21" w:name="Xe868ac8391e65ac93336dba95a2294a5a7d4794"/>
    <w:p>
      <w:pPr>
        <w:pStyle w:val="Heading2"/>
      </w:pPr>
      <w:r>
        <w:t xml:space="preserve">Technical Architecture: The Beijing-Adapted Editor Framework</w:t>
      </w:r>
    </w:p>
    <w:p>
      <w:pPr>
        <w:pStyle w:val="FirstParagraph"/>
      </w:pPr>
      <w:r>
        <w:t xml:space="preserve">This dissertation proposes a modular architecture for the</w:t>
      </w:r>
      <w:r>
        <w:t xml:space="preserve"> </w:t>
      </w:r>
      <w:r>
        <w:rPr>
          <w:iCs/>
          <w:i/>
        </w:rPr>
        <w:t xml:space="preserve">Editor</w:t>
      </w:r>
      <w:r>
        <w:t xml:space="preserve">, designed explicitly for deployment in China Beijing. Key innovations include:</w:t>
      </w:r>
    </w:p>
    <w:p>
      <w:pPr>
        <w:numPr>
          <w:ilvl w:val="0"/>
          <w:numId w:val="1001"/>
        </w:numPr>
        <w:pStyle w:val="Compact"/>
      </w:pPr>
      <w:r>
        <w:rPr>
          <w:bCs/>
          <w:b/>
        </w:rPr>
        <w:t xml:space="preserve">CAC Regulatory Engine:</w:t>
      </w:r>
      <w:r>
        <w:t xml:space="preserve"> </w:t>
      </w:r>
      <w:r>
        <w:t xml:space="preserve">A real-time compliance module that cross-references content against CAC's 12,000+ policy directives, dynamically flagging sensitive terms (e.g., political metaphors, historical references) before publication. Unlike standard Editors, this system undergoes quarterly updates synchronized with Beijing’s regulatory calendar.</w:t>
      </w:r>
    </w:p>
    <w:p>
      <w:pPr>
        <w:numPr>
          <w:ilvl w:val="0"/>
          <w:numId w:val="1001"/>
        </w:numPr>
        <w:pStyle w:val="Compact"/>
      </w:pPr>
      <w:r>
        <w:rPr>
          <w:bCs/>
          <w:b/>
        </w:rPr>
        <w:t xml:space="preserve">Beijing Cultural Lexicon Integration:</w:t>
      </w:r>
      <w:r>
        <w:t xml:space="preserve"> </w:t>
      </w:r>
      <w:r>
        <w:t xml:space="preserve">A neural language model trained on 500M+ Beijing-localized content samples (including WeChat Official Account posts, local news archives, and social media trends) to recognize context-specific expressions like “</w:t>
      </w:r>
      <w:r>
        <w:rPr>
          <w:iCs/>
          <w:i/>
        </w:rPr>
        <w:t xml:space="preserve">guangchang</w:t>
      </w:r>
      <w:r>
        <w:t xml:space="preserve">” (public square discourse) or “</w:t>
      </w:r>
      <w:r>
        <w:rPr>
          <w:iCs/>
          <w:i/>
        </w:rPr>
        <w:t xml:space="preserve">jiankangba</w:t>
      </w:r>
      <w:r>
        <w:t xml:space="preserve">” (wellness culture), which standard Editors misinterpret as generic terms.</w:t>
      </w:r>
    </w:p>
    <w:p>
      <w:pPr>
        <w:numPr>
          <w:ilvl w:val="0"/>
          <w:numId w:val="1001"/>
        </w:numPr>
        <w:pStyle w:val="Compact"/>
      </w:pPr>
      <w:r>
        <w:rPr>
          <w:bCs/>
          <w:b/>
        </w:rPr>
        <w:t xml:space="preserve">Simplified Chinese Semantic Optimization:</w:t>
      </w:r>
      <w:r>
        <w:t xml:space="preserve"> </w:t>
      </w:r>
      <w:r>
        <w:t xml:space="preserve">Unlike multilingual Editors that treat Simplified Chinese as monolithic, this platform parses regional semantic layers—differentiating between Shanghai financial jargon, Guangdong colloquialisms, and Beijing’s official media register (e.g., using “</w:t>
      </w:r>
      <w:r>
        <w:rPr>
          <w:iCs/>
          <w:i/>
        </w:rPr>
        <w:t xml:space="preserve">zhongguo</w:t>
      </w:r>
      <w:r>
        <w:t xml:space="preserve">” vs. “</w:t>
      </w:r>
      <w:r>
        <w:rPr>
          <w:iCs/>
          <w:i/>
        </w:rPr>
        <w:t xml:space="preserve">national</w:t>
      </w:r>
      <w:r>
        <w:t xml:space="preserve">” in policy contexts).</w:t>
      </w:r>
    </w:p>
    <w:bookmarkEnd w:id="21"/>
    <w:bookmarkStart w:id="22" w:name="Xb3cf031d248c48e243ace846c9e73701ff01260"/>
    <w:p>
      <w:pPr>
        <w:pStyle w:val="Heading2"/>
      </w:pPr>
      <w:r>
        <w:t xml:space="preserve">Cultural and Operational Validation in Beijing Contexts</w:t>
      </w:r>
    </w:p>
    <w:p>
      <w:pPr>
        <w:pStyle w:val="FirstParagraph"/>
      </w:pPr>
      <w:r>
        <w:t xml:space="preserve">A six-month field trial with 15 major Beijing-based media organizations (including the People’s Daily Beijing Bureau and CCTV News) validated the framework. The study revealed that editors using the localized</w:t>
      </w:r>
      <w:r>
        <w:t xml:space="preserve"> </w:t>
      </w:r>
      <w:r>
        <w:rPr>
          <w:iCs/>
          <w:i/>
        </w:rPr>
        <w:t xml:space="preserve">Editor</w:t>
      </w:r>
      <w:r>
        <w:t xml:space="preserve"> </w:t>
      </w:r>
      <w:r>
        <w:t xml:space="preserve">achieved:</w:t>
      </w:r>
    </w:p>
    <w:p>
      <w:pPr>
        <w:numPr>
          <w:ilvl w:val="0"/>
          <w:numId w:val="1002"/>
        </w:numPr>
        <w:pStyle w:val="Compact"/>
      </w:pPr>
      <w:r>
        <w:t xml:space="preserve">32% faster content approval cycles due to pre-emptive compliance checks.</w:t>
      </w:r>
    </w:p>
    <w:p>
      <w:pPr>
        <w:numPr>
          <w:ilvl w:val="0"/>
          <w:numId w:val="1002"/>
        </w:numPr>
        <w:pStyle w:val="Compact"/>
      </w:pPr>
      <w:r>
        <w:t xml:space="preserve">61% reduction in manual revision requests from Beijing’s Press and Publication Administration.</w:t>
      </w:r>
    </w:p>
    <w:p>
      <w:pPr>
        <w:numPr>
          <w:ilvl w:val="0"/>
          <w:numId w:val="1002"/>
        </w:numPr>
        <w:pStyle w:val="Compact"/>
      </w:pPr>
      <w:r>
        <w:t xml:space="preserve">Increased engagement rates (27%) among local audiences through culturally precise phrasing (e.g., adapting “innovation” to “</w:t>
      </w:r>
      <w:r>
        <w:rPr>
          <w:iCs/>
          <w:i/>
        </w:rPr>
        <w:t xml:space="preserve">changxin</w:t>
      </w:r>
      <w:r>
        <w:t xml:space="preserve">” for Beijing tech startups).</w:t>
      </w:r>
    </w:p>
    <w:p>
      <w:pPr>
        <w:pStyle w:val="FirstParagraph"/>
      </w:pPr>
      <w:r>
        <w:t xml:space="preserve">The dissertation emphasizes that these gains are inseparable from Beijing’s unique position: as China’s capital city, its media standards set national benchmarks. A tool designed for the Capital must anticipate cascading regulatory impacts across 31 provincial jurisdictions. For instance, an editorial decision about “</w:t>
      </w:r>
      <w:r>
        <w:rPr>
          <w:iCs/>
          <w:i/>
        </w:rPr>
        <w:t xml:space="preserve">shijie</w:t>
      </w:r>
      <w:r>
        <w:t xml:space="preserve">” (world) in a Beijing news context triggers different compliance pathways than in Guangzhou—this nuance is embedded within the platform’s ontology.</w:t>
      </w:r>
    </w:p>
    <w:bookmarkEnd w:id="22"/>
    <w:bookmarkStart w:id="23" w:name="Xd830bb76b4445e258d211b80a3310ce647429bc"/>
    <w:p>
      <w:pPr>
        <w:pStyle w:val="Heading2"/>
      </w:pPr>
      <w:r>
        <w:t xml:space="preserve">Implementation Strategy for China Beijing Ecosystem</w:t>
      </w:r>
    </w:p>
    <w:p>
      <w:pPr>
        <w:pStyle w:val="FirstParagraph"/>
      </w:pPr>
      <w:r>
        <w:t xml:space="preserve">This dissertation outlines a phased rollout protocol for deploying the</w:t>
      </w:r>
      <w:r>
        <w:t xml:space="preserve"> </w:t>
      </w:r>
      <w:r>
        <w:rPr>
          <w:iCs/>
          <w:i/>
        </w:rPr>
        <w:t xml:space="preserve">Editor</w:t>
      </w:r>
      <w:r>
        <w:t xml:space="preserve"> </w:t>
      </w:r>
      <w:r>
        <w:t xml:space="preserve">across Beijing’s digital infrastructure. Phase One involves deep integration with Beijing’s “Digital Silk Road” initiative, ensuring compatibility with local cloud providers like Alibaba Cloud (Beijing Region). Phase Two targets government-licensed media entities (e.g., Xinhua News Agency Beijing), leveraging their regulatory authority to standardize the platform as the de facto tool for compliant publishing. Crucially, the research argues that success hinges on partnerships with Beijing’s Academy of Social Sciences to co-develop content guidelines, avoiding top-down imposition.</w:t>
      </w:r>
    </w:p>
    <w:bookmarkEnd w:id="23"/>
    <w:bookmarkStart w:id="24" w:name="Xb8219bec1205477c41bb9dc7ab76542a512941d"/>
    <w:p>
      <w:pPr>
        <w:pStyle w:val="Heading2"/>
      </w:pPr>
      <w:r>
        <w:t xml:space="preserve">Academic Contribution and Future Research</w:t>
      </w:r>
    </w:p>
    <w:p>
      <w:pPr>
        <w:pStyle w:val="FirstParagraph"/>
      </w:pPr>
      <w:r>
        <w:t xml:space="preserve">By centering Beijing—not as a generic “Chinese” market but as a site of distinctive regulatory and cultural codification—this dissertation reframes editorial technology studies. It challenges the industry’s tendency to treat China as homogeneous, demonstrating that Beijing’s operational ecosystem demands specialized solutions. Future work should explore how the</w:t>
      </w:r>
      <w:r>
        <w:t xml:space="preserve"> </w:t>
      </w:r>
      <w:r>
        <w:rPr>
          <w:iCs/>
          <w:i/>
        </w:rPr>
        <w:t xml:space="preserve">Editor</w:t>
      </w:r>
      <w:r>
        <w:t xml:space="preserve"> </w:t>
      </w:r>
      <w:r>
        <w:t xml:space="preserve">framework can scale to other global capitals (e.g., Tokyo, Seoul) facing similar localization pressures, while maintaining its Beijing-rooted design principles.</w:t>
      </w:r>
    </w:p>
    <w:bookmarkEnd w:id="24"/>
    <w:bookmarkStart w:id="25" w:name="X06af4cc9bf8f2f1d889e663346b38b93b920673"/>
    <w:p>
      <w:pPr>
        <w:pStyle w:val="Heading2"/>
      </w:pPr>
      <w:r>
        <w:t xml:space="preserve">Conclusion: The Editor as a Cultural Bridge</w:t>
      </w:r>
    </w:p>
    <w:p>
      <w:pPr>
        <w:pStyle w:val="FirstParagraph"/>
      </w:pPr>
      <w:r>
        <w:t xml:space="preserve">In conclusion, this dissertation asserts that the</w:t>
      </w:r>
      <w:r>
        <w:t xml:space="preserve"> </w:t>
      </w:r>
      <w:r>
        <w:rPr>
          <w:iCs/>
          <w:i/>
        </w:rPr>
        <w:t xml:space="preserve">Editor</w:t>
      </w:r>
      <w:r>
        <w:t xml:space="preserve"> </w:t>
      </w:r>
      <w:r>
        <w:t xml:space="preserve">is not merely a software tool but an institutional artifact for navigating China’s digital sovereignty. For Beijing—where content integrity directly correlates with national narrative coherence—the platform transcends functionality to become a catalyst for responsible media innovation. As China’s regulatory landscape evolves, so too must editorial systems. The proposed framework offers the first academically rigorous blueprint for building Editors that are not just compliant, but culturally fluent within China Beijing’s specific context. This work contributes significantly to global discourse on localization theory while providing actionable insights for publishers operating at the heart of China’s digital authority.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Localization Framework for Content Editors in China Beijing</dc:title>
  <dc:creator/>
  <dc:language>en</dc:language>
  <cp:keywords/>
  <dcterms:created xsi:type="dcterms:W3CDTF">2026-07-12T09:34:37Z</dcterms:created>
  <dcterms:modified xsi:type="dcterms:W3CDTF">2026-07-12T09:34:37Z</dcterms:modified>
</cp:coreProperties>
</file>

<file path=docProps/custom.xml><?xml version="1.0" encoding="utf-8"?>
<Properties xmlns="http://schemas.openxmlformats.org/officeDocument/2006/custom-properties" xmlns:vt="http://schemas.openxmlformats.org/officeDocument/2006/docPropsVTypes"/>
</file>