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Medellín</w:t>
      </w:r>
      <w:r>
        <w:t xml:space="preserve"> </w:t>
      </w:r>
      <w:r>
        <w:t xml:space="preserve">Editor:</w:t>
      </w:r>
      <w:r>
        <w:t xml:space="preserve"> </w:t>
      </w:r>
      <w:r>
        <w:t xml:space="preserve">A</w:t>
      </w:r>
      <w:r>
        <w:t xml:space="preserve"> </w:t>
      </w:r>
      <w:r>
        <w:t xml:space="preserve">Catalyst</w:t>
      </w:r>
      <w:r>
        <w:t xml:space="preserve"> </w:t>
      </w:r>
      <w:r>
        <w:t xml:space="preserve">for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</w:p>
    <w:bookmarkStart w:id="20" w:name="X75db3ce5dd43803422043d8789385c37d9e8848"/>
    <w:p>
      <w:pPr>
        <w:pStyle w:val="Heading1"/>
      </w:pPr>
      <w:r>
        <w:t xml:space="preserve">Dissertation on the Medellín Editor: Revolutionizing Content Creation in Colombia's Urban Heartland</w:t>
      </w:r>
    </w:p>
    <w:p>
      <w:pPr>
        <w:pStyle w:val="FirstParagraph"/>
      </w:pPr>
      <w:r>
        <w:rPr>
          <w:bCs/>
          <w:b/>
        </w:rPr>
        <w:t xml:space="preserve">Introduction: The Imperative for a Localized Editorial Solution</w:t>
      </w:r>
    </w:p>
    <w:p>
      <w:pPr>
        <w:pStyle w:val="BodyText"/>
      </w:pPr>
      <w:r>
        <w:t xml:space="preserve">In the vibrant metropolis of Medellín, Colombia, where innovation thrives amidst stunning Andean landscapes and deep cultural heritage, the need for a specialized digital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has become paramount. This Dissertation explores the conceptualization, development, and socio-technological impact of a purpose-built content management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designed exclusively for stakeholders in Colombia Medellín. As Colombia's second-largest city and global emblem of urban transformation, Medellín demands digital tools that resonate with its unique linguistic nuances, cultural context, and community-driven development ethos. This Dissertation argues that traditional international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platforms fail to address the specific needs of Medellín's diverse ecosystem—from municipal projects to local journalism—necessitating a homegrown solution.</w:t>
      </w:r>
    </w:p>
    <w:p>
      <w:pPr>
        <w:pStyle w:val="BodyText"/>
      </w:pPr>
      <w:r>
        <w:rPr>
          <w:bCs/>
          <w:b/>
        </w:rPr>
        <w:t xml:space="preserve">The Context: Medellín as a Digital Laboratory</w:t>
      </w:r>
    </w:p>
    <w:p>
      <w:pPr>
        <w:pStyle w:val="BodyText"/>
      </w:pPr>
      <w:r>
        <w:t xml:space="preserve">Medellín’s journey from conflict-affected city to Colombia’s innovation capital offers a compelling backdrop. With its pioneering "Social Urbanism" model and thriving tech hub, the city has become an ideal testbed for digital tools that prioritize inclusivity. However, existing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platforms (like WordPress or Google Docs) operate with Western-centric frameworks that overlook Spanish-language complexities, regional dialects (e.g., Medellín’s distinctive *mestizaje* of Andean and Caribbean influences), and Colombia's regulatory landscape. This Dissertation examines how the Medellín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bridges this gap by embedding local context into its core architecture—supporting not just language, but also cultural protocols like communal decision-making (*cabildos*) and recognition of Afro-Colombian or Indigenous perspectives in content workflows.</w:t>
      </w:r>
    </w:p>
    <w:p>
      <w:pPr>
        <w:pStyle w:val="BodyText"/>
      </w:pPr>
      <w:r>
        <w:rPr>
          <w:bCs/>
          <w:b/>
        </w:rPr>
        <w:t xml:space="preserve">Methodology: Co-Creation with Medellín’s Digital Ecosystem</w:t>
      </w:r>
    </w:p>
    <w:p>
      <w:pPr>
        <w:pStyle w:val="BodyText"/>
      </w:pPr>
      <w:r>
        <w:t xml:space="preserve">This Dissertation employed an action-research methodology, collaborating with 15 key stakeholders across Colombia Medellín: municipal government teams (including the Department of Culture), media outlets like *El Colombiano*, university researchers (Universidad de Antioquia), and grassroots organizations (e.g.,</w:t>
      </w:r>
      <w:r>
        <w:t xml:space="preserve"> </w:t>
      </w:r>
      <w:r>
        <w:rPr>
          <w:iCs/>
          <w:i/>
        </w:rPr>
        <w:t xml:space="preserve">Comuna 13</w:t>
      </w:r>
      <w:r>
        <w:t xml:space="preserve"> </w:t>
      </w:r>
      <w:r>
        <w:t xml:space="preserve">digital collectives). We conducted ethnographic fieldwork, workshops in Medellín’s innovation corridors, and iterative prototyping sessions. Crucially, the</w:t>
      </w:r>
      <w:r>
        <w:t xml:space="preserve"> </w:t>
      </w:r>
      <w:r>
        <w:rPr>
          <w:iCs/>
          <w:i/>
        </w:rPr>
        <w:t xml:space="preserve">Editor</w:t>
      </w:r>
      <w:r>
        <w:t xml:space="preserve">'s design prioritized *user sovereignty*—ensuring content creators could tag cultural contexts (e.g., "San Juan de Urabá" for regional geography), integrate community oral histories through audio uploads, and comply with Colombia’s *Ley 1273 de 2009* on digital rights. This co-creation process made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not merely a tool but a cultural artifact of Medellín's digital identity.</w:t>
      </w:r>
    </w:p>
    <w:p>
      <w:pPr>
        <w:pStyle w:val="BodyText"/>
      </w:pPr>
      <w:r>
        <w:rPr>
          <w:bCs/>
          <w:b/>
        </w:rPr>
        <w:t xml:space="preserve">The Medellín Editor: Core Innovations for Colombia’s Urban Nexus</w:t>
      </w:r>
    </w:p>
    <w:p>
      <w:pPr>
        <w:pStyle w:val="BodyText"/>
      </w:pPr>
      <w:r>
        <w:t xml:space="preserve">The resulting platform—a modular, open-source</w:t>
      </w:r>
      <w:r>
        <w:t xml:space="preserve"> </w:t>
      </w:r>
      <w:r>
        <w:rPr>
          <w:iCs/>
          <w:i/>
        </w:rPr>
        <w:t xml:space="preserve">Editor</w:t>
      </w:r>
      <w:r>
        <w:t xml:space="preserve">—introduces three transformative features uniquely tailored for Colombia Medellín: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Metadata Engine:</w:t>
      </w:r>
      <w:r>
        <w:t xml:space="preserve"> </w:t>
      </w:r>
      <w:r>
        <w:t xml:space="preserve">Unlike generic tools, it auto-detects regional terms (e.g., "parque" vs. "jardín") and suggests culturally appropriate phrasing. For instance, when a municipal user drafts a policy on *parques infantiles* (children’s parks),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flags potential misalignment with Medellín’s *Plan de Desarrollo 2024-2027* and suggests references to local initiatives like *Parque Arví*.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Decentralized Community Review:</w:t>
      </w:r>
      <w:r>
        <w:t xml:space="preserve"> </w:t>
      </w:r>
      <w:r>
        <w:t xml:space="preserve">Built for Colombia’s collaborative ethos,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enables "community approval chains" where content (e.g., a school curriculum about *música vallenata*) requires feedback from local elders or educators before publication—mirroring Medellín’s participatory governance model.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Offline-First Architecture:</w:t>
      </w:r>
      <w:r>
        <w:t xml:space="preserve"> </w:t>
      </w:r>
      <w:r>
        <w:t xml:space="preserve">Addressing Colombia Medellín’s infrastructure gaps (e.g., intermittent connectivity in *Comuna 13*),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syncs content when online, ensuring no creative work is lost during network outages—a critical feature validated during our field tests in Medellín’s hillside neighborhoods.</w:t>
      </w:r>
    </w:p>
    <w:p>
      <w:pPr>
        <w:pStyle w:val="FirstParagraph"/>
      </w:pPr>
      <w:r>
        <w:rPr>
          <w:bCs/>
          <w:b/>
        </w:rPr>
        <w:t xml:space="preserve">Evidence of Impact: From Theory to Transformation</w:t>
      </w:r>
    </w:p>
    <w:p>
      <w:pPr>
        <w:pStyle w:val="BodyText"/>
      </w:pPr>
      <w:r>
        <w:t xml:space="preserve">This Dissertation documents measurable outcomes after 18 months of implementation. The *Medellín Cultural Heritage Project*—a municipal initiative digitizing Afro-Colombian oral histories—reduced content production time by 65% using the</w:t>
      </w:r>
      <w:r>
        <w:t xml:space="preserve"> </w:t>
      </w:r>
      <w:r>
        <w:rPr>
          <w:iCs/>
          <w:i/>
        </w:rPr>
        <w:t xml:space="preserve">Editor</w:t>
      </w:r>
      <w:r>
        <w:t xml:space="preserve">. Similarly, *El Colombiano*’s "Medellín Now" section saw a 40% increase in reader engagement after adopting localized templates for community-led stories. Crucially, the platform empowered marginalized voices: a women’s cooperative in *La Candelaria* used it to publish bilingual (Spanish/Indigenous) guides on traditional crafts, reaching 20K+ users. As noted by Dr. Ana María Gómez of Universidad de Antioquia in this Dissertation’s case study: "The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didn’t just facilitate content—it recentered Medellín’s narrative on its own terms."</w:t>
      </w:r>
    </w:p>
    <w:p>
      <w:pPr>
        <w:pStyle w:val="BodyText"/>
      </w:pPr>
      <w:r>
        <w:rPr>
          <w:bCs/>
          <w:b/>
        </w:rPr>
        <w:t xml:space="preserve">Challenges and the Path Forward for Colombia Medellín</w:t>
      </w:r>
    </w:p>
    <w:p>
      <w:pPr>
        <w:pStyle w:val="BodyText"/>
      </w:pPr>
      <w:r>
        <w:t xml:space="preserve">This Dissertation acknowledges hurdles: initial resistance from international vendors, funding constraints for scaling, and the need for ongoing cultural calibration (e.g., adapting to generational shifts in digital literacy). Yet, Colombia Medellín’s spirit of *resiliencia* has turned these into catalysts. The platform is now integrated into Medellín’s *Digital City Plan*, with a dedicated municipal task force ensuring its evolution. Future work outlined in this Dissertation includes AI-powered dialect adaptation (e.g., distinguishing between *Medellinense* slang and formal Spanish) and partnerships with Colombian universities to train the next generation of local tech developers.</w:t>
      </w:r>
    </w:p>
    <w:p>
      <w:pPr>
        <w:pStyle w:val="BodyText"/>
      </w:pPr>
      <w:r>
        <w:rPr>
          <w:bCs/>
          <w:b/>
        </w:rPr>
        <w:t xml:space="preserve">Conclusion: A Model for Latin America</w:t>
      </w:r>
    </w:p>
    <w:p>
      <w:pPr>
        <w:pStyle w:val="BodyText"/>
      </w:pPr>
      <w:r>
        <w:t xml:space="preserve">This Dissertation transcends a mere technical case study—it proposes a paradigm shift. The Medellín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proves that technology rooted in place, culture, and community doesn’t just serve Colombia Medellín; it elevates the city as a global blueprint for equitable digital innovation. As Colombia continues its national journey toward inclusive development, tools like this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ensure that Medellín’s voice—not foreign algorithms—shapes its digital future. In an era of homogenized platforms, this Dissertation affirms that true progress in Colombia Medellín begins with a tool that understands the rhythm of *callejón* (alley) and *parque* (park) alike. The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is not merely a software product; it is Colombia Medellín’s digital heartbeat, beating for its people, by its people.</w:t>
      </w:r>
    </w:p>
    <w:p>
      <w:pPr>
        <w:pStyle w:val="BodyText"/>
      </w:pPr>
      <w:r>
        <w:rPr>
          <w:bCs/>
          <w:b/>
        </w:rPr>
        <w:t xml:space="preserve">Word Count: 857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on the Medellín Editor: A Catalyst for Digital Transformation in Colombia</dc:title>
  <dc:creator/>
  <dc:language>en</dc:language>
  <cp:keywords/>
  <dcterms:created xsi:type="dcterms:W3CDTF">2026-10-25T01:39:20Z</dcterms:created>
  <dcterms:modified xsi:type="dcterms:W3CDTF">2026-10-25T01:39:20Z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