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Berlin-Specific</w:t>
      </w:r>
      <w:r>
        <w:t xml:space="preserve"> </w:t>
      </w:r>
      <w:r>
        <w:t xml:space="preserve">Editorial</w:t>
      </w:r>
      <w:r>
        <w:t xml:space="preserve"> </w:t>
      </w:r>
      <w:r>
        <w:t xml:space="preserve">Framework</w:t>
      </w:r>
      <w:r>
        <w:t xml:space="preserve"> </w:t>
      </w:r>
      <w:r>
        <w:t xml:space="preserve">for</w:t>
      </w:r>
      <w:r>
        <w:t xml:space="preserve"> </w:t>
      </w:r>
      <w:r>
        <w:t xml:space="preserve">German</w:t>
      </w:r>
      <w:r>
        <w:t xml:space="preserve"> </w:t>
      </w:r>
      <w:r>
        <w:t xml:space="preserve">Digital</w:t>
      </w:r>
      <w:r>
        <w:t xml:space="preserve"> </w:t>
      </w:r>
      <w:r>
        <w:t xml:space="preserve">Humanities</w:t>
      </w:r>
    </w:p>
    <w:bookmarkStart w:id="30" w:name="Xdf67e7bfe60c6aa4227d9e4ba2fcbfb1a3b2760"/>
    <w:p>
      <w:pPr>
        <w:pStyle w:val="Heading1"/>
      </w:pPr>
      <w:r>
        <w:t xml:space="preserve">A Berlin-Centric Editorial Framework for Academic and Professional Text Processing in Germany</w:t>
      </w:r>
    </w:p>
    <w:p>
      <w:pPr>
        <w:pStyle w:val="FirstParagraph"/>
      </w:pPr>
      <w:r>
        <w:rPr>
          <w:bCs/>
          <w:b/>
        </w:rPr>
        <w:t xml:space="preserve">Author:</w:t>
      </w:r>
      <w:r>
        <w:t xml:space="preserve"> </w:t>
      </w:r>
      <w:r>
        <w:t xml:space="preserve">Dr. Anja Müller</w:t>
      </w:r>
      <w:r>
        <w:br/>
      </w:r>
      <w:r>
        <w:rPr>
          <w:bCs/>
          <w:b/>
        </w:rPr>
        <w:t xml:space="preserve">Institution:</w:t>
      </w:r>
      <w:r>
        <w:t xml:space="preserve"> </w:t>
      </w:r>
      <w:r>
        <w:t xml:space="preserve">Humboldt University of Berlin, Department of Digital Humanities</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critically examines the necessity and implementation of a specialized editorial framework tailored for academic and professional text processing within Germany, with a primary focus on Berlin as the socio-technological epicenter. It argues that existing generic editors fail to address the unique linguistic, legal, and collaborative demands of German-language scholarship in Berlin’s dynamic ecosystem. Through mixed-methods research involving case studies with 12 Berlin-based institutions (including the Deutsche Nationalbibliothek and Charité Medical University), this work develops a prototype editor—</w:t>
      </w:r>
      <w:r>
        <w:rPr>
          <w:iCs/>
          <w:i/>
        </w:rPr>
        <w:t xml:space="preserve">BERLIN-EDITOR</w:t>
      </w:r>
      <w:r>
        <w:t xml:space="preserve">—that integrates GDPR compliance, multilingual support for German dialects, and seamless integration with Berlin’s digital infrastructure. The research demonstrates how such a context-specific tool significantly enhances productivity, data sovereignty, and scholarly collaboration across Germany.</w:t>
      </w:r>
    </w:p>
    <w:bookmarkEnd w:id="20"/>
    <w:bookmarkStart w:id="21" w:name="X331829dbc7cb94e938c91453ac53a50f362e554"/>
    <w:p>
      <w:pPr>
        <w:pStyle w:val="Heading2"/>
      </w:pPr>
      <w:r>
        <w:t xml:space="preserve">1. Introduction: The Berlin Imperative in Digital Editing</w:t>
      </w:r>
    </w:p>
    <w:p>
      <w:pPr>
        <w:pStyle w:val="FirstParagraph"/>
      </w:pPr>
      <w:r>
        <w:t xml:space="preserve">The academic and professional landscape of Germany Berlin presents distinct editorial challenges absent in other European contexts. As the capital city hosting over 50% of Germany’s major cultural institutions, research universities (e.g., Freie Universität, Technische Universität), and governmental bodies like the Senate Department for Culture and Europe, Berlin functions as a microcosm of national German digital needs. Yet, mainstream text editors—despite their global popularity—lack features critical to Berlin’s environment: native handling of German-specific typographical rules (e.g.,</w:t>
      </w:r>
      <w:r>
        <w:t xml:space="preserve"> </w:t>
      </w:r>
      <w:r>
        <w:rPr>
          <w:iCs/>
          <w:i/>
        </w:rPr>
        <w:t xml:space="preserve">Umlauts</w:t>
      </w:r>
      <w:r>
        <w:t xml:space="preserve"> </w:t>
      </w:r>
      <w:r>
        <w:t xml:space="preserve">ä/ö/ü and ß), real-time compliance with Germany’s stringent</w:t>
      </w:r>
      <w:r>
        <w:t xml:space="preserve"> </w:t>
      </w:r>
      <w:r>
        <w:rPr>
          <w:iCs/>
          <w:i/>
        </w:rPr>
        <w:t xml:space="preserve">Datenschutzgrundverordnung (GDPR)</w:t>
      </w:r>
      <w:r>
        <w:t xml:space="preserve">, and interoperability with local platforms such as the Berlin Open Data Portal. This dissertation posits that a Berlin-specific editorial framework is not merely advantageous but essential for maintaining Germany’s position as a leader in digital humanities and public administration.</w:t>
      </w:r>
    </w:p>
    <w:bookmarkEnd w:id="21"/>
    <w:bookmarkStart w:id="22" w:name="X1f4dbbef75e3a90ac088b36dadd881c12b32c06"/>
    <w:p>
      <w:pPr>
        <w:pStyle w:val="Heading2"/>
      </w:pPr>
      <w:r>
        <w:t xml:space="preserve">2. Methodology: Contextual Research in Germany's Digital Heartland</w:t>
      </w:r>
    </w:p>
    <w:p>
      <w:pPr>
        <w:pStyle w:val="FirstParagraph"/>
      </w:pPr>
      <w:r>
        <w:t xml:space="preserve">This study employed ethnographic observation, stakeholder interviews, and prototype co-design workshops across Berlin between 2021–2023. Key participants included: (a) editors at the</w:t>
      </w:r>
      <w:r>
        <w:t xml:space="preserve"> </w:t>
      </w:r>
      <w:r>
        <w:rPr>
          <w:iCs/>
          <w:i/>
        </w:rPr>
        <w:t xml:space="preserve">Berliner Verlagshaus</w:t>
      </w:r>
      <w:r>
        <w:t xml:space="preserve"> </w:t>
      </w:r>
      <w:r>
        <w:t xml:space="preserve">handling multilingual German-language publications; (b) researchers from the</w:t>
      </w:r>
      <w:r>
        <w:t xml:space="preserve"> </w:t>
      </w:r>
      <w:r>
        <w:rPr>
          <w:iCs/>
          <w:i/>
        </w:rPr>
        <w:t xml:space="preserve">Leibniz Institute for European History</w:t>
      </w:r>
      <w:r>
        <w:t xml:space="preserve"> </w:t>
      </w:r>
      <w:r>
        <w:t xml:space="preserve">requiring complex archival text processing; and (c) IT managers at Berlin’s city administration. Crucially, all research was conducted under Germany’s legal framework, ensuring data sovereignty through on-premises servers located in Berlin. The methodology prioritized user-centered design—validating that the proposed</w:t>
      </w:r>
      <w:r>
        <w:t xml:space="preserve"> </w:t>
      </w:r>
      <w:r>
        <w:rPr>
          <w:iCs/>
          <w:i/>
        </w:rPr>
        <w:t xml:space="preserve">BERLIN-EDITOR</w:t>
      </w:r>
      <w:r>
        <w:t xml:space="preserve"> </w:t>
      </w:r>
      <w:r>
        <w:t xml:space="preserve">directly addressed gaps identified in 87% of survey responses from German academic and governmental sectors.</w:t>
      </w:r>
    </w:p>
    <w:bookmarkEnd w:id="22"/>
    <w:bookmarkStart w:id="26" w:name="X7a16552c50d06238d77c983e06a3416c688022d"/>
    <w:p>
      <w:pPr>
        <w:pStyle w:val="Heading2"/>
      </w:pPr>
      <w:r>
        <w:t xml:space="preserve">3. Core Features: Why Berlin Demands a Specialized Editor</w:t>
      </w:r>
    </w:p>
    <w:p>
      <w:pPr>
        <w:pStyle w:val="FirstParagraph"/>
      </w:pPr>
      <w:r>
        <w:t xml:space="preserve">The dissertation identifies three non-negotiable features for any editor operating within Germany Berlin:</w:t>
      </w:r>
    </w:p>
    <w:bookmarkStart w:id="23" w:name="linguistic-precision-for-german-contexts"/>
    <w:p>
      <w:pPr>
        <w:pStyle w:val="Heading3"/>
      </w:pPr>
      <w:r>
        <w:t xml:space="preserve">3.1 Linguistic Precision for German Contexts</w:t>
      </w:r>
    </w:p>
    <w:p>
      <w:pPr>
        <w:pStyle w:val="FirstParagraph"/>
      </w:pPr>
      <w:r>
        <w:t xml:space="preserve">Berlin’s academic discourse requires editors to handle regional linguistic nuances absent in standard tools. For example, the</w:t>
      </w:r>
      <w:r>
        <w:t xml:space="preserve"> </w:t>
      </w:r>
      <w:r>
        <w:rPr>
          <w:iCs/>
          <w:i/>
        </w:rPr>
        <w:t xml:space="preserve">BERLIN-EDITOR</w:t>
      </w:r>
      <w:r>
        <w:t xml:space="preserve"> </w:t>
      </w:r>
      <w:r>
        <w:t xml:space="preserve">includes a dynamic dictionary for Berlin dialectal terms (e.g., "Männe" for "man") and automatic correction of German-specific punctuation rules (e.g., spacing around em-dashes). As noted by Prof. Klaus Vogel at Humboldt University, "Generic editors treat 'Büro' and 'Büro' identically—this is disastrous for historical text analysis in Germany."</w:t>
      </w:r>
    </w:p>
    <w:bookmarkEnd w:id="23"/>
    <w:bookmarkStart w:id="24" w:name="gdpr-compliant-workflow-integration"/>
    <w:p>
      <w:pPr>
        <w:pStyle w:val="Heading3"/>
      </w:pPr>
      <w:r>
        <w:t xml:space="preserve">3.2 GDPR-Compliant Workflow Integration</w:t>
      </w:r>
    </w:p>
    <w:p>
      <w:pPr>
        <w:pStyle w:val="FirstParagraph"/>
      </w:pPr>
      <w:r>
        <w:t xml:space="preserve">All data processing within the Berlin context must adhere to German federal law. The editor’s architecture features on-device encryption, automated pseudonymization of user data, and a built-in audit trail for compliance reports required by Germany’s Federal Data Protection Act (BDSG). This eliminates reliance on third-party cloud services—critical for institutions like the</w:t>
      </w:r>
      <w:r>
        <w:t xml:space="preserve"> </w:t>
      </w:r>
      <w:r>
        <w:rPr>
          <w:iCs/>
          <w:i/>
        </w:rPr>
        <w:t xml:space="preserve">Deutsche Börse Group</w:t>
      </w:r>
      <w:r>
        <w:t xml:space="preserve">, which mandates all text processing occur within Germany’s sovereign digital infrastructure.</w:t>
      </w:r>
    </w:p>
    <w:bookmarkEnd w:id="24"/>
    <w:bookmarkStart w:id="25" w:name="berlin-specific-ecosystem-integration"/>
    <w:p>
      <w:pPr>
        <w:pStyle w:val="Heading3"/>
      </w:pPr>
      <w:r>
        <w:t xml:space="preserve">3.3 Berlin-Specific Ecosystem Integration</w:t>
      </w:r>
    </w:p>
    <w:p>
      <w:pPr>
        <w:pStyle w:val="FirstParagraph"/>
      </w:pPr>
      <w:r>
        <w:t xml:space="preserve">The dissertation details how the editor integrates with local Berlin systems: direct access to the</w:t>
      </w:r>
      <w:r>
        <w:t xml:space="preserve"> </w:t>
      </w:r>
      <w:r>
        <w:rPr>
          <w:iCs/>
          <w:i/>
        </w:rPr>
        <w:t xml:space="preserve">Berlin Digital Library API</w:t>
      </w:r>
      <w:r>
        <w:t xml:space="preserve"> </w:t>
      </w:r>
      <w:r>
        <w:t xml:space="preserve">for source material, compatibility with the city’s open-source administrative platform (</w:t>
      </w:r>
      <w:r>
        <w:rPr>
          <w:iCs/>
          <w:i/>
        </w:rPr>
        <w:t xml:space="preserve">Berlin-OpenGov</w:t>
      </w:r>
      <w:r>
        <w:t xml:space="preserve">), and support for Berlin-specific metadata schemas. A pilot at the</w:t>
      </w:r>
      <w:r>
        <w:t xml:space="preserve"> </w:t>
      </w:r>
      <w:r>
        <w:rPr>
          <w:iCs/>
          <w:i/>
        </w:rPr>
        <w:t xml:space="preserve">Museum für Naturkunde</w:t>
      </w:r>
      <w:r>
        <w:t xml:space="preserve"> </w:t>
      </w:r>
      <w:r>
        <w:t xml:space="preserve">reduced manuscript processing time by 40% through these integrations.</w:t>
      </w:r>
    </w:p>
    <w:bookmarkEnd w:id="25"/>
    <w:bookmarkEnd w:id="26"/>
    <w:bookmarkStart w:id="27" w:name="X6063762e1efe292151affc929db556cdf40ca8e"/>
    <w:p>
      <w:pPr>
        <w:pStyle w:val="Heading2"/>
      </w:pPr>
      <w:r>
        <w:t xml:space="preserve">4. Implementation and Impact in Germany Berlin</w:t>
      </w:r>
    </w:p>
    <w:p>
      <w:pPr>
        <w:pStyle w:val="FirstParagraph"/>
      </w:pPr>
      <w:r>
        <w:t xml:space="preserve">Piloting the</w:t>
      </w:r>
      <w:r>
        <w:t xml:space="preserve"> </w:t>
      </w:r>
      <w:r>
        <w:rPr>
          <w:iCs/>
          <w:i/>
        </w:rPr>
        <w:t xml:space="preserve">BERLIN-EDITOR</w:t>
      </w:r>
      <w:r>
        <w:t xml:space="preserve"> </w:t>
      </w:r>
      <w:r>
        <w:t xml:space="preserve">across eight Berlin institutions revealed transformative outcomes. At the</w:t>
      </w:r>
    </w:p>
    <w:p>
      <w:pPr>
        <w:pStyle w:val="BodyText"/>
      </w:pPr>
      <w:r>
        <w:t xml:space="preserve">Berlin State Library (Staatsbibliothek zu Berlin), archivists processed 15,000+ digitized German-language manuscripts in six months—double the previous throughput—with zero GDPR violations. For public administration, the city’s Department of Urban Planning reduced inter-departmental document delays by 33% using the editor’s real-time collaboration module (enabled through Berlin’s municipal network). Crucially, all solutions were developed within Germany, avoiding data export risks under EU law.</w:t>
      </w:r>
    </w:p>
    <w:bookmarkEnd w:id="27"/>
    <w:bookmarkStart w:id="28" w:name="Xbc5286da9356588466a5e3fc7822215816a593d"/>
    <w:p>
      <w:pPr>
        <w:pStyle w:val="Heading2"/>
      </w:pPr>
      <w:r>
        <w:t xml:space="preserve">5. Conclusion: Beyond Berlin to a German Editorial Standard</w:t>
      </w:r>
    </w:p>
    <w:p>
      <w:pPr>
        <w:pStyle w:val="FirstParagraph"/>
      </w:pPr>
      <w:r>
        <w:t xml:space="preserve">This dissertation concludes that a context-aware editorial framework is not merely a technical tool but a prerequisite for Germany’s digital sovereignty. The Berlin-specific model proves scalable across Germany, where regional linguistic and legal nuances vary significantly (e.g., Bavarian dialects versus Rhineland terms). Future work will propose adopting the</w:t>
      </w:r>
      <w:r>
        <w:t xml:space="preserve"> </w:t>
      </w:r>
      <w:r>
        <w:rPr>
          <w:iCs/>
          <w:i/>
        </w:rPr>
        <w:t xml:space="preserve">BERLIN-EDITOR</w:t>
      </w:r>
      <w:r>
        <w:t xml:space="preserve"> </w:t>
      </w:r>
      <w:r>
        <w:t xml:space="preserve">as the default standard for all German public-sector text processing—a recommendation already under review by Germany’s Federal Ministry of Education and Research. As Berlin evolves as a global hub for ethical digital innovation, its editorial frameworks must lead, ensuring Germany remains at the vanguard of responsible technology use in academia and governance. The success of this project underscores that true digital transformation begins with tools built *for* the people they serve—especially within the unique ecosystem of Germany Berlin.</w:t>
      </w:r>
    </w:p>
    <w:bookmarkEnd w:id="28"/>
    <w:bookmarkStart w:id="29" w:name="references-selected"/>
    <w:p>
      <w:pPr>
        <w:pStyle w:val="Heading2"/>
      </w:pPr>
      <w:r>
        <w:t xml:space="preserve">References (Selected)</w:t>
      </w:r>
    </w:p>
    <w:p>
      <w:pPr>
        <w:pStyle w:val="FirstParagraph"/>
      </w:pPr>
      <w:r>
        <w:t xml:space="preserve">German Federal Ministry for Education and Research (BMBF). (2022). *Digital Sovereignty in Public Administration*. Bonn.</w:t>
      </w:r>
      <w:r>
        <w:br/>
      </w:r>
      <w:r>
        <w:t xml:space="preserve">Müller, A. (2023). "Linguistic Localization of Digital Tools in German Contexts." *Journal of Digital Humanities*, 45(3), 112–130.</w:t>
      </w:r>
      <w:r>
        <w:br/>
      </w:r>
      <w:r>
        <w:t xml:space="preserve">Berlin Senate Department for Culture and Europe. (2021). *Berlin Open Data Strategy Report*. Berlin.</w:t>
      </w:r>
    </w:p>
    <w:p>
      <w:pPr>
        <w:pStyle w:val="BodyText"/>
      </w:pPr>
      <w:r>
        <w:rPr>
          <w:iCs/>
          <w:i/>
        </w:rPr>
        <w:t xml:space="preserve">This dissertation was submitted in partial fulfillment of the requirements for the Doctorate in Digital Humanities at Humboldt University of Berlin. The research received funding from the German Research Foundation (DFG) under Grant No. MU-4567/9.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Berlin-Specific Editorial Framework for German Digital Humanities</dc:title>
  <dc:creator/>
  <dc:language>en</dc:language>
  <cp:keywords/>
  <dcterms:created xsi:type="dcterms:W3CDTF">2026-06-29T20:22:56Z</dcterms:created>
  <dcterms:modified xsi:type="dcterms:W3CDTF">2026-06-29T20:22:56Z</dcterms:modified>
</cp:coreProperties>
</file>

<file path=docProps/custom.xml><?xml version="1.0" encoding="utf-8"?>
<Properties xmlns="http://schemas.openxmlformats.org/officeDocument/2006/custom-properties" xmlns:vt="http://schemas.openxmlformats.org/officeDocument/2006/docPropsVTypes"/>
</file>