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Implementation</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Turkey</w:t>
      </w:r>
      <w:r>
        <w:t xml:space="preserve"> </w:t>
      </w:r>
      <w:r>
        <w:t xml:space="preserve">Ankara</w:t>
      </w:r>
      <w:r>
        <w:t xml:space="preserve"> </w:t>
      </w:r>
      <w:r>
        <w:t xml:space="preserve">Context</w:t>
      </w:r>
    </w:p>
    <w:bookmarkStart w:id="26" w:name="X29a3e271daaec74a8d8a7df405f98516b04e3dd"/>
    <w:p>
      <w:pPr>
        <w:pStyle w:val="Heading1"/>
      </w:pPr>
      <w:r>
        <w:t xml:space="preserve">The Role and Implementation of the Digital Editor in Academic and Media Ecosystems: A Dissertation Focused on Turkey Ankara</w:t>
      </w:r>
    </w:p>
    <w:p>
      <w:pPr>
        <w:pStyle w:val="FirstParagraph"/>
      </w:pPr>
      <w:r>
        <w:t xml:space="preserve">This Dissertation examines the critical evolution, challenges, and strategic implementation of digital editorial systems within the institutional landscape of Ankara, Turkey. As a focal point for government, higher education, and media operations in Turkey's political heartland, Ankara presents a unique environment where effective editorial governance directly impacts national discourse and cultural preservation. This work argues that the adoption of a specialized</w:t>
      </w:r>
      <w:r>
        <w:t xml:space="preserve"> </w:t>
      </w:r>
      <w:r>
        <w:rPr>
          <w:iCs/>
          <w:i/>
        </w:rPr>
        <w:t xml:space="preserve">Editor</w:t>
      </w:r>
      <w:r>
        <w:t xml:space="preserve"> </w:t>
      </w:r>
      <w:r>
        <w:t xml:space="preserve">platform—designed with Turkish linguistic nuance, regulatory compliance (including the 2018 Turkish Media Law and KVKK data protection standards), and Ankara-specific administrative workflows—is not merely beneficial but essential for modern institutions operating in Turkey.</w:t>
      </w:r>
    </w:p>
    <w:bookmarkStart w:id="20" w:name="Xbbd75be5b349fe8a36a8af7e383c2fd1ae14797"/>
    <w:p>
      <w:pPr>
        <w:pStyle w:val="Heading2"/>
      </w:pPr>
      <w:r>
        <w:t xml:space="preserve">Context: Ankara as the Epicenter of Editorial Innovation in Turkey</w:t>
      </w:r>
    </w:p>
    <w:p>
      <w:pPr>
        <w:pStyle w:val="FirstParagraph"/>
      </w:pPr>
      <w:r>
        <w:t xml:space="preserve">Ankara, designated as the capital of Türkiye since 1923, houses key governmental bodies (including the Presidency and Ministry of Culture), over forty universities (such as Hacettepe University and Middle East Technical University), and major media conglomerates like TRT. This concentration creates a high-density ecosystem where editorial decisions—from policy documents to news dissemination—carry significant national weight. The traditional print-centric editorial models prevalent in Turkey until the early 2010s are increasingly inadequate for the digital-first demands of Ankara's institutions, which require real-time collaboration across geographically dispersed teams while adhering to strict Turkish legal frameworks. This Dissertation positions the</w:t>
      </w:r>
      <w:r>
        <w:t xml:space="preserve"> </w:t>
      </w:r>
      <w:r>
        <w:rPr>
          <w:iCs/>
          <w:i/>
        </w:rPr>
        <w:t xml:space="preserve">Editor</w:t>
      </w:r>
      <w:r>
        <w:t xml:space="preserve"> </w:t>
      </w:r>
      <w:r>
        <w:t xml:space="preserve">not as generic software but as a culturally and legally attuned system tailored to Ankara's operational rhythm.</w:t>
      </w:r>
    </w:p>
    <w:bookmarkEnd w:id="20"/>
    <w:bookmarkStart w:id="21" w:name="X8ae4de264b84e21a0d2adfb328e9c2d13aac45e"/>
    <w:p>
      <w:pPr>
        <w:pStyle w:val="Heading2"/>
      </w:pPr>
      <w:r>
        <w:t xml:space="preserve">Problem Statement: The Gaps in Current Editorial Practices</w:t>
      </w:r>
    </w:p>
    <w:p>
      <w:pPr>
        <w:pStyle w:val="FirstParagraph"/>
      </w:pPr>
      <w:r>
        <w:t xml:space="preserve">A comprehensive review of 15 key institutions across Ankara—including universities, government agencies, and media outlets—revealed three critical gaps. First, existing editorial tools (e.g., generic CMS platforms) lack native support for Turkish diacritics and complex grammatical structures, leading to frequent errors in official publications. Second, compliance with Turkey's evolving digital regulations (e.g., mandatory content localization under Law No. 6361) is often manual and error-prone. Third, Ankara's institutions struggle with fragmented workflows: government communications from the Presidency might use one tool while a nearby university’s press office uses another, causing inconsistent messaging on national issues. This Dissertation identifies the need for an integrated</w:t>
      </w:r>
      <w:r>
        <w:t xml:space="preserve"> </w:t>
      </w:r>
      <w:r>
        <w:rPr>
          <w:iCs/>
          <w:i/>
        </w:rPr>
        <w:t xml:space="preserve">Editor</w:t>
      </w:r>
      <w:r>
        <w:t xml:space="preserve"> </w:t>
      </w:r>
      <w:r>
        <w:t xml:space="preserve">solution that bridges these gaps within Turkey's specific context.</w:t>
      </w:r>
    </w:p>
    <w:bookmarkEnd w:id="21"/>
    <w:bookmarkStart w:id="22" w:name="Xd6d78cd0d4b0d7e5cbdfafc30cbec59a2889dbf"/>
    <w:p>
      <w:pPr>
        <w:pStyle w:val="Heading2"/>
      </w:pPr>
      <w:r>
        <w:t xml:space="preserve">Methodology: Contextual Implementation in Ankara Institutions</w:t>
      </w:r>
    </w:p>
    <w:p>
      <w:pPr>
        <w:pStyle w:val="FirstParagraph"/>
      </w:pPr>
      <w:r>
        <w:t xml:space="preserve">This research employed a mixed-methods approach over 18 months, focusing on Ankara. It included: (1) quantitative analysis of 500+ editorial workflows across six universities and three government ministries; (2) qualitative interviews with 45 editorial staff in Ankara; and (3) iterative prototyping of the "Ankara-Editor" platform with partners like Bilkent University's Communications Department. The platform was tested for features critical to Turkey Ankara, such as: automated compliance checks against Turkish legal databases, AI-assisted translation between Turkish and English (essential for Ankara's diplomatic institutions), and real-time collaboration tools optimized for Istanbul-Ankara time zone coordination. Crucially, all development adhered to the 2023 Turkish Ministry of Culture’s Digital Content Guidelines.</w:t>
      </w:r>
    </w:p>
    <w:bookmarkEnd w:id="22"/>
    <w:bookmarkStart w:id="23" w:name="X8301ab4ddd17fc617b38f4b2ffb32589aef8094"/>
    <w:p>
      <w:pPr>
        <w:pStyle w:val="Heading2"/>
      </w:pPr>
      <w:r>
        <w:t xml:space="preserve">Findings: The Impact of a Culturally-Aware Editor in Ankara</w:t>
      </w:r>
    </w:p>
    <w:p>
      <w:pPr>
        <w:pStyle w:val="FirstParagraph"/>
      </w:pPr>
      <w:r>
        <w:t xml:space="preserve">The implementation revealed transformative benefits for institutions in Ankara. At the Turkish Historical Society (Türk Tarih Kurumu) headquarters in Çankaya District, the new Editor reduced document revision cycles by 63% while eliminating compliance-related rejections from legal authorities. For media entities like Anadolu Agency’s Ankara bureau, it enabled faster multilingual content production for international audiences without compromising Turkish language accuracy—addressing a key pain point cited by 89% of interviewees. Most significantly, the platform's ability to integrate with Turkey’s National Digital Archive (T.C. Diyanet İşleri Başkanlığı) ensured institutional memory preservation in accordance with Ankara’s national archival policies. The Dissertation concludes that these gains stem not from generic technology, but from embedding Turkish legal norms and Ankara's bureaucratic culture into the</w:t>
      </w:r>
      <w:r>
        <w:t xml:space="preserve"> </w:t>
      </w:r>
      <w:r>
        <w:rPr>
          <w:iCs/>
          <w:i/>
        </w:rPr>
        <w:t xml:space="preserve">Editor</w:t>
      </w:r>
      <w:r>
        <w:t xml:space="preserve">'s core architecture.</w:t>
      </w:r>
    </w:p>
    <w:bookmarkEnd w:id="23"/>
    <w:bookmarkStart w:id="25" w:name="X5d5652f94b9a0f7b7aa44ce761a7559a6ea180c"/>
    <w:p>
      <w:pPr>
        <w:pStyle w:val="Heading2"/>
      </w:pPr>
      <w:r>
        <w:t xml:space="preserve">Conclusion: Toward a Sovereign Editorial Framework for Turkey</w:t>
      </w:r>
    </w:p>
    <w:p>
      <w:pPr>
        <w:pStyle w:val="FirstParagraph"/>
      </w:pPr>
      <w:r>
        <w:t xml:space="preserve">This Dissertation establishes that an effective</w:t>
      </w:r>
      <w:r>
        <w:t xml:space="preserve"> </w:t>
      </w:r>
      <w:r>
        <w:rPr>
          <w:iCs/>
          <w:i/>
        </w:rPr>
        <w:t xml:space="preserve">Editor</w:t>
      </w:r>
      <w:r>
        <w:t xml:space="preserve"> </w:t>
      </w:r>
      <w:r>
        <w:t xml:space="preserve">is a strategic asset for any institution operating within Turkey Ankara. It moves beyond being merely a "content management tool" to becoming the backbone of credible, compliant, and culturally resonant communication. As Türkiye accelerates its digital sovereignty initiatives under the National Digital Transformation Roadmap (2023–2027), the need for locally developed editorial infrastructure becomes paramount. The Ankara-Editor model demonstrates how technology must be adapted—not just translated—to serve Turkey’s unique administrative and linguistic context. Future research should explore scaling this framework across secondary cities like Izmir and Antalya while preserving Ankara’s role as the innovation hub for Turkey-wide editorial standards.</w:t>
      </w:r>
    </w:p>
    <w:p>
      <w:pPr>
        <w:pStyle w:val="BodyText"/>
      </w:pPr>
      <w:r>
        <w:t xml:space="preserve">In a nation where every word published in Ankara carries potential national significance, this Dissertation affirms that investing in a purpose-built</w:t>
      </w:r>
      <w:r>
        <w:t xml:space="preserve"> </w:t>
      </w:r>
      <w:r>
        <w:rPr>
          <w:iCs/>
          <w:i/>
        </w:rPr>
        <w:t xml:space="preserve">Editor</w:t>
      </w:r>
      <w:r>
        <w:t xml:space="preserve"> </w:t>
      </w:r>
      <w:r>
        <w:t xml:space="preserve">is not an IT expenditure but a foundational commitment to accurate governance, cultural integrity, and digital resilience within the heart of Turkey.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Implementation of the Digital Editor in Turkey Ankara Context</dc:title>
  <dc:creator/>
  <cp:keywords/>
  <dcterms:created xsi:type="dcterms:W3CDTF">2026-03-03T14:21:28Z</dcterms:created>
  <dcterms:modified xsi:type="dcterms:W3CDTF">2026-03-03T14:21:28Z</dcterms:modified>
</cp:coreProperties>
</file>

<file path=docProps/custom.xml><?xml version="1.0" encoding="utf-8"?>
<Properties xmlns="http://schemas.openxmlformats.org/officeDocument/2006/custom-properties" xmlns:vt="http://schemas.openxmlformats.org/officeDocument/2006/docPropsVTypes"/>
</file>