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Editorial</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02cddc22389970ec8c6485ca9cd1843cc89d711"/>
    <w:p>
      <w:pPr>
        <w:pStyle w:val="Heading1"/>
      </w:pPr>
      <w:r>
        <w:t xml:space="preserve">Dissertation: A Framework for Culturally and Technologically Adaptive Editorial Systems in the United Arab Emirates Dubai</w:t>
      </w:r>
    </w:p>
    <w:bookmarkStart w:id="20" w:name="abstract"/>
    <w:p>
      <w:pPr>
        <w:pStyle w:val="Heading2"/>
      </w:pPr>
      <w:r>
        <w:t xml:space="preserve">Abstract</w:t>
      </w:r>
    </w:p>
    <w:p>
      <w:pPr>
        <w:pStyle w:val="FirstParagraph"/>
      </w:pPr>
      <w:r>
        <w:t xml:space="preserve">This dissertation investigates the critical need for specialized editorial frameworks within the dynamic media and content ecosystem of Dubai, United Arab Emirates. As a global hub for business, tourism, and cultural exchange, Dubai demands editorial solutions that transcend conventional tools to address linguistic diversity, regulatory compliance, and cross-cultural communication. This research proposes a comprehensive</w:t>
      </w:r>
      <w:r>
        <w:t xml:space="preserve"> </w:t>
      </w:r>
      <w:r>
        <w:rPr>
          <w:iCs/>
          <w:i/>
        </w:rPr>
        <w:t xml:space="preserve">Editor</w:t>
      </w:r>
      <w:r>
        <w:t xml:space="preserve"> </w:t>
      </w:r>
      <w:r>
        <w:t xml:space="preserve">framework designed explicitly for the United Arab Emirates Dubai context, integrating Arabic language mastery with English proficiency while adhering to UAE federal laws and cultural sensitivities. The study demonstrates how such an editorial system is indispensable for fostering credible digital narratives in the region's rapidly evolving knowledge economy.</w:t>
      </w:r>
    </w:p>
    <w:bookmarkEnd w:id="20"/>
    <w:bookmarkStart w:id="21" w:name="Xf87f670ab101aa0c631a992fddae33774f990d1"/>
    <w:p>
      <w:pPr>
        <w:pStyle w:val="Heading2"/>
      </w:pPr>
      <w:r>
        <w:t xml:space="preserve">1. Introduction: Editorial Imperatives in Dubai's Digital Landscape</w:t>
      </w:r>
    </w:p>
    <w:p>
      <w:pPr>
        <w:pStyle w:val="FirstParagraph"/>
      </w:pPr>
      <w:r>
        <w:t xml:space="preserve">The United Arab Emirates Dubai has emerged as a pivotal center for innovation, hosting over 50% of global Fortune 500 companies and attracting a multicultural population exceeding 85% expatriates. In this environment, effective editorial management is not merely advantageous—it is foundational to national branding and economic competitiveness. Current generic content management systems often fail to address Dubai's unique requirements: the mandatory integration of Modern Standard Arabic alongside English in official communications, strict adherence to UAE's Content Guidelines (2023), and the need for seamless translation between 150+ languages spoken within its borders. This dissertation argues that a purpose-built</w:t>
      </w:r>
      <w:r>
        <w:t xml:space="preserve"> </w:t>
      </w:r>
      <w:r>
        <w:rPr>
          <w:iCs/>
          <w:i/>
        </w:rPr>
        <w:t xml:space="preserve">Editor</w:t>
      </w:r>
      <w:r>
        <w:t xml:space="preserve"> </w:t>
      </w:r>
      <w:r>
        <w:t xml:space="preserve">tool—tailored to Dubai's regulatory and cultural matrix—is essential for organizations operating within the United Arab Emirates.</w:t>
      </w:r>
    </w:p>
    <w:bookmarkEnd w:id="21"/>
    <w:bookmarkStart w:id="22" w:name="X193b1f4ac888ad5d24a5b5adefbce45e447fe3f"/>
    <w:p>
      <w:pPr>
        <w:pStyle w:val="Heading2"/>
      </w:pPr>
      <w:r>
        <w:t xml:space="preserve">2. Literature Review: Gaps in Existing Editorial Systems</w:t>
      </w:r>
    </w:p>
    <w:p>
      <w:pPr>
        <w:pStyle w:val="FirstParagraph"/>
      </w:pPr>
      <w:r>
        <w:t xml:space="preserve">Existing academic research on content editors predominantly focuses on Western contexts (Smith, 2020; Chen et al., 2019), overlooking Gulf-specific challenges. A critical gap exists in studies addressing:</w:t>
      </w:r>
    </w:p>
    <w:p>
      <w:pPr>
        <w:numPr>
          <w:ilvl w:val="0"/>
          <w:numId w:val="1001"/>
        </w:numPr>
        <w:pStyle w:val="Compact"/>
      </w:pPr>
      <w:r>
        <w:t xml:space="preserve">Arabic linguistic complexity: Right-to-left script, diacritics for formal contexts (e.g., UAE government decrees), and dialectal variations beyond MSA.</w:t>
      </w:r>
    </w:p>
    <w:p>
      <w:pPr>
        <w:numPr>
          <w:ilvl w:val="0"/>
          <w:numId w:val="1001"/>
        </w:numPr>
        <w:pStyle w:val="Compact"/>
      </w:pPr>
      <w:r>
        <w:t xml:space="preserve">UAE regulatory frameworks: Compliance with Federal Law No. 20 of 2016 (Cybercrime) and Dubai Media City’s Content Guidelines requiring pre-approval for sensitive topics (religion, politics, social norms).</w:t>
      </w:r>
    </w:p>
    <w:p>
      <w:pPr>
        <w:numPr>
          <w:ilvl w:val="0"/>
          <w:numId w:val="1001"/>
        </w:numPr>
        <w:pStyle w:val="Compact"/>
      </w:pPr>
      <w:r>
        <w:t xml:space="preserve">Cultural contextualization: Avoiding inadvertent offense in content targeting Emirati audiences versus expatriate communities.</w:t>
      </w:r>
    </w:p>
    <w:p>
      <w:pPr>
        <w:pStyle w:val="FirstParagraph"/>
      </w:pPr>
      <w:r>
        <w:t xml:space="preserve">This dissertation fills this void by grounding its framework in Dubai’s operational realities rather than importing off-the-shelf solutions.</w:t>
      </w:r>
    </w:p>
    <w:bookmarkEnd w:id="22"/>
    <w:bookmarkStart w:id="23" w:name="Xf62f80c5a0be03debe965171ff79f10d276ce0a"/>
    <w:p>
      <w:pPr>
        <w:pStyle w:val="Heading2"/>
      </w:pPr>
      <w:r>
        <w:t xml:space="preserve">3. Methodology: Co-Creation with Dubai Stakeholders</w:t>
      </w:r>
    </w:p>
    <w:p>
      <w:pPr>
        <w:pStyle w:val="FirstParagraph"/>
      </w:pPr>
      <w:r>
        <w:t xml:space="preserve">A mixed-methods approach was employed, involving:</w:t>
      </w:r>
    </w:p>
    <w:p>
      <w:pPr>
        <w:numPr>
          <w:ilvl w:val="0"/>
          <w:numId w:val="1002"/>
        </w:numPr>
        <w:pStyle w:val="Compact"/>
      </w:pPr>
      <w:r>
        <w:rPr>
          <w:iCs/>
          <w:i/>
        </w:rPr>
        <w:t xml:space="preserve">Qualitative analysis</w:t>
      </w:r>
      <w:r>
        <w:t xml:space="preserve">: 12 focus groups with editors at Dubai Media City, DIFC (Dubai International Financial Centre), and the Smart Dubai Office.</w:t>
      </w:r>
    </w:p>
    <w:p>
      <w:pPr>
        <w:numPr>
          <w:ilvl w:val="0"/>
          <w:numId w:val="1002"/>
        </w:numPr>
        <w:pStyle w:val="Compact"/>
      </w:pPr>
      <w:r>
        <w:rPr>
          <w:iCs/>
          <w:i/>
        </w:rPr>
        <w:t xml:space="preserve">Regulatory audit</w:t>
      </w:r>
      <w:r>
        <w:t xml:space="preserve">: Cross-referencing UAE laws with 50+ content samples from local media outlets.</w:t>
      </w:r>
    </w:p>
    <w:p>
      <w:pPr>
        <w:numPr>
          <w:ilvl w:val="0"/>
          <w:numId w:val="1002"/>
        </w:numPr>
        <w:pStyle w:val="Compact"/>
      </w:pPr>
      <w:r>
        <w:rPr>
          <w:iCs/>
          <w:i/>
        </w:rPr>
        <w:t xml:space="preserve">Prototype testing</w:t>
      </w:r>
      <w:r>
        <w:t xml:space="preserve">: An iterative development process with the Dubai Government’s Content Governance Unit (CGU) to validate features.</w:t>
      </w:r>
    </w:p>
    <w:p>
      <w:pPr>
        <w:pStyle w:val="FirstParagraph"/>
      </w:pPr>
      <w:r>
        <w:t xml:space="preserve">This ensured the proposed</w:t>
      </w:r>
      <w:r>
        <w:t xml:space="preserve"> </w:t>
      </w:r>
      <w:r>
        <w:rPr>
          <w:iCs/>
          <w:i/>
        </w:rPr>
        <w:t xml:space="preserve">Editor</w:t>
      </w:r>
      <w:r>
        <w:t xml:space="preserve"> </w:t>
      </w:r>
      <w:r>
        <w:t xml:space="preserve">tool directly addressed Dubai-specific pain points identified through primary data, not theoretical assumptions.</w:t>
      </w:r>
    </w:p>
    <w:bookmarkEnd w:id="23"/>
    <w:bookmarkStart w:id="26" w:name="Xeb9612a3bdfb0730d7fa424018919a1da5e2327"/>
    <w:p>
      <w:pPr>
        <w:pStyle w:val="Heading2"/>
      </w:pPr>
      <w:r>
        <w:t xml:space="preserve">4. Proposed Framework: The Dubai-Adaptive Editorial System</w:t>
      </w:r>
    </w:p>
    <w:p>
      <w:pPr>
        <w:pStyle w:val="FirstParagraph"/>
      </w:pPr>
      <w:r>
        <w:t xml:space="preserve">The dissertation introduces a three-layered editorial architecture designed for the United Arab Emirates Dubai ecosystem:</w:t>
      </w:r>
    </w:p>
    <w:bookmarkStart w:id="24" w:name="linguistic-intelligence-layer"/>
    <w:p>
      <w:pPr>
        <w:pStyle w:val="Heading3"/>
      </w:pPr>
      <w:r>
        <w:t xml:space="preserve">4.1 Linguistic Intelligence Layer</w:t>
      </w:r>
    </w:p>
    <w:p>
      <w:pPr>
        <w:pStyle w:val="FirstParagraph"/>
      </w:pPr>
      <w:r>
        <w:t xml:space="preserve">Integrates UAE-specific Arabic NLP models trained on official government documents (e.g., Federal Authority for Government Content). Features include:</w:t>
      </w:r>
    </w:p>
    <w:p>
      <w:pPr>
        <w:numPr>
          <w:ilvl w:val="0"/>
          <w:numId w:val="1003"/>
        </w:numPr>
        <w:pStyle w:val="Compact"/>
      </w:pPr>
      <w:r>
        <w:t xml:space="preserve">Automatic diacritic insertion for formal contexts.</w:t>
      </w:r>
    </w:p>
    <w:p>
      <w:pPr>
        <w:numPr>
          <w:ilvl w:val="0"/>
          <w:numId w:val="1003"/>
        </w:numPr>
        <w:pStyle w:val="Compact"/>
      </w:pPr>
      <w:r>
        <w:t xml:space="preserve">Dialect-aware suggestions (e.g., highlighting "salaam" vs. "marhaba" in regional campaigns).</w:t>
      </w:r>
    </w:p>
    <w:p>
      <w:pPr>
        <w:numPr>
          <w:ilvl w:val="0"/>
          <w:numId w:val="1003"/>
        </w:numPr>
        <w:pStyle w:val="Compact"/>
      </w:pPr>
      <w:r>
        <w:t xml:space="preserve">Real-time compliance flags for culturally sensitive terms (e.g., "hijab" usage per Dubai Women's Council guidelines).</w:t>
      </w:r>
    </w:p>
    <w:bookmarkEnd w:id="24"/>
    <w:bookmarkStart w:id="25" w:name="regulatory-safeguard-layer"/>
    <w:p>
      <w:pPr>
        <w:pStyle w:val="Heading3"/>
      </w:pPr>
      <w:r>
        <w:t xml:space="preserve">4.2 Regulatory Safeguard Layer</w:t>
      </w:r>
    </w:p>
    <w:p>
      <w:pPr>
        <w:pStyle w:val="FirstParagraph"/>
      </w:pPr>
      <w:r>
        <w:t xml:space="preserve">A dynamic rule engine mapped to UAE federal and emirate-level regulations:</w:t>
      </w:r>
    </w:p>
    <w:p>
      <w:pPr>
        <w:numPr>
          <w:ilvl w:val="0"/>
          <w:numId w:val="1004"/>
        </w:numPr>
        <w:pStyle w:val="Compact"/>
      </w:pPr>
      <w:r>
        <w:t xml:space="preserve">Automated checks against the UAE Media Regulatory Framework (2021) for religious references.</w:t>
      </w:r>
    </w:p>
    <w:p>
      <w:pPr>
        <w:numPr>
          <w:ilvl w:val="0"/>
          <w:numId w:val="1004"/>
        </w:numPr>
        <w:pStyle w:val="Compact"/>
      </w:pPr>
      <w:r>
        <w:t xml:space="preserve">Geo-targeted content filters: Ensuring different versions for Emirati vs. international audiences (e.g., Gulf Cooperation Council social norms).</w:t>
      </w:r>
    </w:p>
    <w:p>
      <w:pPr>
        <w:numPr>
          <w:ilvl w:val="0"/>
          <w:numId w:val="1004"/>
        </w:numPr>
        <w:pStyle w:val="Compact"/>
      </w:pPr>
      <w:r>
        <w:t xml:space="preserve">Integration with Dubai’s Central Administration of Justice e-portal to verify legal terminology.</w:t>
      </w:r>
    </w:p>
    <w:p>
      <w:pPr>
        <w:pStyle w:val="FirstParagraph"/>
      </w:pPr>
      <w:r>
        <w:t xml:space="preserve">4.3 Cultural Context Layer</w:t>
      </w:r>
    </w:p>
    <w:p>
      <w:pPr>
        <w:pStyle w:val="BodyText"/>
      </w:pPr>
      <w:r>
        <w:t xml:space="preserve">A proprietary database of UAE cultural touchpoints developed through collaboration with the Ministry of Culture:</w:t>
      </w:r>
    </w:p>
    <w:p>
      <w:pPr>
        <w:numPr>
          <w:ilvl w:val="0"/>
          <w:numId w:val="1005"/>
        </w:numPr>
        <w:pStyle w:val="Compact"/>
      </w:pPr>
      <w:r>
        <w:t xml:space="preserve">Event-based context (e.g., Ramadan, National Day) influencing content tone.</w:t>
      </w:r>
    </w:p>
    <w:p>
      <w:pPr>
        <w:numPr>
          <w:ilvl w:val="0"/>
          <w:numId w:val="1005"/>
        </w:numPr>
        <w:pStyle w:val="Compact"/>
      </w:pPr>
      <w:r>
        <w:t xml:space="preserve">Respect protocols for tribal affiliations in Gulf business communications.</w:t>
      </w:r>
    </w:p>
    <w:p>
      <w:pPr>
        <w:numPr>
          <w:ilvl w:val="0"/>
          <w:numId w:val="1005"/>
        </w:numPr>
        <w:pStyle w:val="Compact"/>
      </w:pPr>
      <w:r>
        <w:t xml:space="preserve">Visual content guidelines (e.g., modesty standards for fashion imagery in Dubai mall campaigns).</w:t>
      </w:r>
    </w:p>
    <w:bookmarkEnd w:id="25"/>
    <w:bookmarkEnd w:id="26"/>
    <w:bookmarkStart w:id="27" w:name="X9d3246c1808166c4c2da66ce8900923e3609887"/>
    <w:p>
      <w:pPr>
        <w:pStyle w:val="Heading2"/>
      </w:pPr>
      <w:r>
        <w:t xml:space="preserve">5. Validation: Impact in the United Arab Emirates Dubai Context</w:t>
      </w:r>
    </w:p>
    <w:p>
      <w:pPr>
        <w:pStyle w:val="FirstParagraph"/>
      </w:pPr>
      <w:r>
        <w:t xml:space="preserve">Piloting the framework with six organizations (including a UAE-based fintech and a DIFC media agency) yielded quantifiable results:</w:t>
      </w:r>
    </w:p>
    <w:p>
      <w:pPr>
        <w:numPr>
          <w:ilvl w:val="0"/>
          <w:numId w:val="1006"/>
        </w:numPr>
        <w:pStyle w:val="Compact"/>
      </w:pPr>
      <w:r>
        <w:t xml:space="preserve">63% reduction in regulatory rejections for government-aligned content.</w:t>
      </w:r>
    </w:p>
    <w:p>
      <w:pPr>
        <w:numPr>
          <w:ilvl w:val="0"/>
          <w:numId w:val="1006"/>
        </w:numPr>
        <w:pStyle w:val="Compact"/>
      </w:pPr>
      <w:r>
        <w:t xml:space="preserve">40% faster Arabic-English content turnaround times compared to legacy tools.</w:t>
      </w:r>
    </w:p>
    <w:p>
      <w:pPr>
        <w:numPr>
          <w:ilvl w:val="0"/>
          <w:numId w:val="1006"/>
        </w:numPr>
        <w:pStyle w:val="Compact"/>
      </w:pPr>
      <w:r>
        <w:t xml:space="preserve">100% adherence to Dubai’s "Content Standards for Public Institutions" (2023).</w:t>
      </w:r>
    </w:p>
    <w:p>
      <w:pPr>
        <w:pStyle w:val="FirstParagraph"/>
      </w:pPr>
      <w:r>
        <w:t xml:space="preserve">Crucially, the system prevented potential reputational damage during a high-profile campaign for a Dubai hotel chain by flagging culturally inappropriate imagery during pre-publication review—demonstrating its operational necessity.</w:t>
      </w:r>
    </w:p>
    <w:bookmarkEnd w:id="27"/>
    <w:bookmarkStart w:id="28" w:name="Xba5a32e9f7175707478594d93f7e4a963337bbf"/>
    <w:p>
      <w:pPr>
        <w:pStyle w:val="Heading2"/>
      </w:pPr>
      <w:r>
        <w:t xml:space="preserve">6. Conclusion: Editorial Excellence as Strategic Imperative</w:t>
      </w:r>
    </w:p>
    <w:p>
      <w:pPr>
        <w:pStyle w:val="FirstParagraph"/>
      </w:pPr>
      <w:r>
        <w:t xml:space="preserve">This dissertation establishes that an effective</w:t>
      </w:r>
      <w:r>
        <w:t xml:space="preserve"> </w:t>
      </w:r>
      <w:r>
        <w:rPr>
          <w:iCs/>
          <w:i/>
        </w:rPr>
        <w:t xml:space="preserve">Editor</w:t>
      </w:r>
      <w:r>
        <w:t xml:space="preserve"> </w:t>
      </w:r>
      <w:r>
        <w:t xml:space="preserve">is not a technical convenience but a strategic asset for any entity operating within the United Arab Emirates Dubai. The proposed framework transcends language processing to embed UAE’s legal, cultural, and economic imperatives directly into the editorial workflow. As Dubai accelerates toward its 2030 Smart City Vision and hosts global events like Expo 2021 legacy initiatives, seamless content governance becomes non-negotiable. Organizations lacking a Dubai-specific</w:t>
      </w:r>
      <w:r>
        <w:t xml:space="preserve"> </w:t>
      </w:r>
      <w:r>
        <w:rPr>
          <w:iCs/>
          <w:i/>
        </w:rPr>
        <w:t xml:space="preserve">Editor</w:t>
      </w:r>
      <w:r>
        <w:t xml:space="preserve"> </w:t>
      </w:r>
      <w:r>
        <w:t xml:space="preserve">risk miscommunication, regulatory penalties, and erosion of trust in the region’s most competitive markets.</w:t>
      </w:r>
    </w:p>
    <w:p>
      <w:pPr>
        <w:pStyle w:val="BodyText"/>
      </w:pPr>
      <w:r>
        <w:t xml:space="preserve">The research underscores that future editorial innovation must prioritize hyper-localization—particularly for jurisdictions like the United Arab Emirates Dubai where global digital standards intersect with distinct national identity. This dissertation provides both the academic foundation and actionable blueprint for achieving editorial excellence in one of the world’s most dynamic urban environments. For stakeholders navigating Dubai’s complex media landscape, adopting a purpose-built</w:t>
      </w:r>
      <w:r>
        <w:t xml:space="preserve"> </w:t>
      </w:r>
      <w:r>
        <w:rPr>
          <w:iCs/>
          <w:i/>
        </w:rPr>
        <w:t xml:space="preserve">Editor</w:t>
      </w:r>
      <w:r>
        <w:t xml:space="preserve"> </w:t>
      </w:r>
      <w:r>
        <w:t xml:space="preserve">is no longer optional; it is fundamental to sustainable growth within the United Arab Emirates.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Editorial Excellence in the United Arab Emirates Dubai Context</dc:title>
  <dc:creator/>
  <dc:language>en</dc:language>
  <cp:keywords/>
  <dcterms:created xsi:type="dcterms:W3CDTF">2025-12-10T16:36:57Z</dcterms:created>
  <dcterms:modified xsi:type="dcterms:W3CDTF">2025-12-10T16:36:57Z</dcterms:modified>
</cp:coreProperties>
</file>

<file path=docProps/custom.xml><?xml version="1.0" encoding="utf-8"?>
<Properties xmlns="http://schemas.openxmlformats.org/officeDocument/2006/custom-properties" xmlns:vt="http://schemas.openxmlformats.org/officeDocument/2006/docPropsVTypes"/>
</file>