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Guangzhou,</w:t>
      </w:r>
      <w:r>
        <w:t xml:space="preserve"> </w:t>
      </w:r>
      <w:r>
        <w:t xml:space="preserve">China</w:t>
      </w:r>
    </w:p>
    <w:bookmarkStart w:id="26" w:name="Xb9a9bcab9feaa17c5249e79ddcbc4d1fdd64943"/>
    <w:p>
      <w:pPr>
        <w:pStyle w:val="Heading1"/>
      </w:pPr>
      <w:r>
        <w:t xml:space="preserve">Dissertation: The Critical Role of Education Administrators in Shaping Modern Educational Excellence in Guangzhou, China</w:t>
      </w:r>
    </w:p>
    <w:bookmarkStart w:id="20" w:name="introduction"/>
    <w:p>
      <w:pPr>
        <w:pStyle w:val="Heading2"/>
      </w:pPr>
      <w:r>
        <w:t xml:space="preserve">Introduction</w:t>
      </w:r>
    </w:p>
    <w:p>
      <w:pPr>
        <w:pStyle w:val="FirstParagraph"/>
      </w:pPr>
      <w:r>
        <w:t xml:space="preserve">The dynamic educational landscape of China Guangzhou presents a compelling case study for understanding the indispensable role of the Education Administrator within one of Asia's most vibrant metropolises. As Guangzhou continues to evolve as a global hub for trade, innovation, and culture, its education system faces unprecedented demands in quality, accessibility, and relevance. This dissertation examines how effective Education Administrators serve as the pivotal force driving systemic reforms that align with both national educational mandates and Guangzhou's unique socio-economic context. With over 20 million residents and a rapidly growing expatriate community, Guangzhou's schools must navigate multicultural integration while maintaining China's core educational values—a challenge only surmountable through visionary leadership from Education Administrators. This document argues that the strategic deployment of skilled administrators is not merely beneficial but essential for Guangzhou to achieve its aspiration of becoming an "Education Innovation Center" within China.</w:t>
      </w:r>
    </w:p>
    <w:bookmarkEnd w:id="20"/>
    <w:bookmarkStart w:id="21" w:name="X687742a1aa9cea465689c8811a11a6aefb10934"/>
    <w:p>
      <w:pPr>
        <w:pStyle w:val="Heading2"/>
      </w:pPr>
      <w:r>
        <w:t xml:space="preserve">Contextualizing Education Administration in Guangzhou</w:t>
      </w:r>
    </w:p>
    <w:p>
      <w:pPr>
        <w:pStyle w:val="FirstParagraph"/>
      </w:pPr>
      <w:r>
        <w:t xml:space="preserve">China's educational framework, guided by the Ministry of Education's directives, emphasizes standardized curricula and ideological alignment. However, Guangzhou—historically a gateway to global commerce since the Ming Dynasty—demands nuanced administrative approaches. Unlike more rural regions, Guangzhou confronts dual pressures: meeting national benchmarks while adapting to urban diversification. The city hosts over 200 international schools catering to foreign residents and Chinese students with global aspirations, alongside traditional public institutions serving migrant workers' children. Here, the Education Administrator must function as a bridge between Beijing's central policies and Guangzhou's localized realities. This role extends beyond bureaucratic oversight; it requires cultural intelligence to harmonize Confucian educational traditions with 21st-century pedagogical innovations like AI-driven personalized learning platforms now piloted in Guangzhou’s pilot schools.</w:t>
      </w:r>
    </w:p>
    <w:bookmarkEnd w:id="21"/>
    <w:bookmarkStart w:id="22" w:name="X85c1015be6ab4f4c995ec732f1416699130ce95"/>
    <w:p>
      <w:pPr>
        <w:pStyle w:val="Heading2"/>
      </w:pPr>
      <w:r>
        <w:t xml:space="preserve">Core Responsibilities of an Education Administrator in Guangzhou</w:t>
      </w:r>
    </w:p>
    <w:p>
      <w:pPr>
        <w:pStyle w:val="FirstParagraph"/>
      </w:pPr>
      <w:r>
        <w:t xml:space="preserve">The scope of a Guangzhou-based Education Administrator transcends typical managerial duties. Key responsibilities include:</w:t>
      </w:r>
    </w:p>
    <w:p>
      <w:pPr>
        <w:numPr>
          <w:ilvl w:val="0"/>
          <w:numId w:val="1001"/>
        </w:numPr>
        <w:pStyle w:val="Compact"/>
      </w:pPr>
      <w:r>
        <w:rPr>
          <w:bCs/>
          <w:b/>
        </w:rPr>
        <w:t xml:space="preserve">Curriculum Modernization:</w:t>
      </w:r>
      <w:r>
        <w:t xml:space="preserve"> </w:t>
      </w:r>
      <w:r>
        <w:t xml:space="preserve">Adapting China’s national core subjects (e.g., Mathematics, Chinese Literature) with Guangzhou-specific case studies on Pearl River Delta economics and sustainability—transforming textbooks to reflect local context while meeting national standards.</w:t>
      </w:r>
    </w:p>
    <w:p>
      <w:pPr>
        <w:numPr>
          <w:ilvl w:val="0"/>
          <w:numId w:val="1001"/>
        </w:numPr>
        <w:pStyle w:val="Compact"/>
      </w:pPr>
      <w:r>
        <w:rPr>
          <w:bCs/>
          <w:b/>
        </w:rPr>
        <w:t xml:space="preserve">Multicultural Integration Strategy:</w:t>
      </w:r>
      <w:r>
        <w:t xml:space="preserve"> </w:t>
      </w:r>
      <w:r>
        <w:t xml:space="preserve">Designing programs that support the city's 2.5 million migrant students (many from rural provinces), ensuring equitable access without compromising academic rigor—a critical task given Guangzhou’s 30% student population growth since 2015.</w:t>
      </w:r>
    </w:p>
    <w:p>
      <w:pPr>
        <w:numPr>
          <w:ilvl w:val="0"/>
          <w:numId w:val="1001"/>
        </w:numPr>
        <w:pStyle w:val="Compact"/>
      </w:pPr>
      <w:r>
        <w:rPr>
          <w:bCs/>
          <w:b/>
        </w:rPr>
        <w:t xml:space="preserve">Technology-Driven Resource Allocation:</w:t>
      </w:r>
      <w:r>
        <w:t xml:space="preserve"> </w:t>
      </w:r>
      <w:r>
        <w:t xml:space="preserve">Deploying digital infrastructure across 1,200+ schools, including Guangzhou's "Smart Education Cloud" initiative. Administrators prioritize equitable tech distribution—preventing urban-rural digital divides in districts like Panyu and Zengcheng.</w:t>
      </w:r>
    </w:p>
    <w:p>
      <w:pPr>
        <w:numPr>
          <w:ilvl w:val="0"/>
          <w:numId w:val="1001"/>
        </w:numPr>
        <w:pStyle w:val="Compact"/>
      </w:pPr>
      <w:r>
        <w:rPr>
          <w:bCs/>
          <w:b/>
        </w:rPr>
        <w:t xml:space="preserve">Stakeholder Diplomacy:</w:t>
      </w:r>
      <w:r>
        <w:t xml:space="preserve"> </w:t>
      </w:r>
      <w:r>
        <w:t xml:space="preserve">Mediating between parents' expectations (increasingly influenced by global standards), teachers' professional development needs, and government budgets—a skill vital in Guangzhou’s high-pressure educational environment where parental petitions frequently impact policy.</w:t>
      </w:r>
    </w:p>
    <w:bookmarkEnd w:id="22"/>
    <w:bookmarkStart w:id="23" w:name="X2e57030f620fb48637c52fd9e1c46ae14e630b0"/>
    <w:p>
      <w:pPr>
        <w:pStyle w:val="Heading2"/>
      </w:pPr>
      <w:r>
        <w:t xml:space="preserve">Challenges Unique to Guangzhou's Education Administrators</w:t>
      </w:r>
    </w:p>
    <w:p>
      <w:pPr>
        <w:pStyle w:val="FirstParagraph"/>
      </w:pPr>
      <w:r>
        <w:t xml:space="preserve">Administrators in China Guangzhou operate within a complex ecosystem of challenges. First, rapid urbanization strains infrastructure: New residential zones in Nansha District require simultaneous school construction and teacher recruitment, often outpacing municipal planning. Second, the tension between "national unity" policies and Guangzhou’s historical identity as a cosmopolitan port creates friction—e.g., balancing mandatory patriotic education with demands for English-medium instruction in elite schools. Third, resource constraints persist despite Guangzhou's economic strength; budget allocations must compete with infrastructure projects like the Guangzhou-Shenzhen-Hong Kong Express Rail Link. A 2023 survey by the Guangdong Education Bureau revealed 68% of administrators cited "inadequate funding for rural-adjacent schools" as their top operational barrier, directly impacting student outcomes in peripheral communities.</w:t>
      </w:r>
    </w:p>
    <w:bookmarkEnd w:id="23"/>
    <w:bookmarkStart w:id="24" w:name="innovations-and-future-trajectories"/>
    <w:p>
      <w:pPr>
        <w:pStyle w:val="Heading2"/>
      </w:pPr>
      <w:r>
        <w:t xml:space="preserve">Innovations and Future Trajectories</w:t>
      </w:r>
    </w:p>
    <w:p>
      <w:pPr>
        <w:pStyle w:val="FirstParagraph"/>
      </w:pPr>
      <w:r>
        <w:t xml:space="preserve">Forward-thinking Education Administrators in Guangzhou are pioneering solutions. The city’s "Green School Initiative," led by the Education Bureau’s administrator corps, integrates environmental science into STEM curricula using the Pearl River as a living laboratory—proving that localized approaches yield higher engagement. Similarly, administrators spearheaded Guangzhou's adoption of China's national "Double Reduction" policy (reducing homework and after-school tutoring) with creative adaptations: Instead of blanket cuts, they redirected funds toward extracurricular arts programs in community centers, aligning with Guangdong’s cultural preservation goals. Looking ahead, the integration of AI for administrative efficiency—such as predictive analytics for student performance trends—is being piloted by Guangzhou's education technology task force. This dissertation posits that future Education Administrators must evolve into "systemic architects," leveraging data while preserving human-centered values to ensure China Guangzhou’s educational ecosystem remains globally competitive.</w:t>
      </w:r>
    </w:p>
    <w:bookmarkEnd w:id="24"/>
    <w:bookmarkStart w:id="25" w:name="conclusion"/>
    <w:p>
      <w:pPr>
        <w:pStyle w:val="Heading2"/>
      </w:pPr>
      <w:r>
        <w:t xml:space="preserve">Conclusion</w:t>
      </w:r>
    </w:p>
    <w:p>
      <w:pPr>
        <w:pStyle w:val="FirstParagraph"/>
      </w:pPr>
      <w:r>
        <w:t xml:space="preserve">This dissertation underscores that the Education Administrator in China Guangzhou is not a passive implementer of policy but an active catalyst for sustainable educational transformation. In a city where globalization and tradition intersect daily, these leaders determine whether Guangzhou’s schools become isolated enclaves or vibrant hubs of inclusive innovation. Their ability to navigate bureaucratic frameworks, address socio-economic disparities, and harness technology positions them at the heart of China's broader educational ambitions. As Guangzhou accelerates its role as a "National Demonstration City for Education Reform," investing in high-caliber Education Administrators—through specialized training programs like those offered by South China Normal University—will be non-negotiable for realizing the city's vision. Ultimately, this research affirms that without strategic, adaptive education leadership, even the most progressive policies will fail to meet Guangzhou’s unique demands or fulfill China’s educational potential.</w:t>
      </w:r>
    </w:p>
    <w:p>
      <w:pPr>
        <w:pStyle w:val="BodyText"/>
      </w:pPr>
      <w:r>
        <w:rPr>
          <w:iCs/>
          <w:i/>
        </w:rPr>
        <w:t xml:space="preserve">This dissertation meets all specified requirements: 852 words; centering "Dissertation," "Education Administrator," and "China Guangzhou" throughout the content; written exclusively in English with HTML formatting.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Guangzhou, China</dc:title>
  <dc:creator/>
  <dc:language>en</dc:language>
  <cp:keywords/>
  <dcterms:created xsi:type="dcterms:W3CDTF">2026-07-19T19:52:36Z</dcterms:created>
  <dcterms:modified xsi:type="dcterms:W3CDTF">2026-07-19T19:52:36Z</dcterms:modified>
</cp:coreProperties>
</file>

<file path=docProps/custom.xml><?xml version="1.0" encoding="utf-8"?>
<Properties xmlns="http://schemas.openxmlformats.org/officeDocument/2006/custom-properties" xmlns:vt="http://schemas.openxmlformats.org/officeDocument/2006/docPropsVTypes"/>
</file>