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7" w:name="Xe1e2fa9fed7bc480cf47b61a422c143795e2c8c"/>
    <w:p>
      <w:pPr>
        <w:pStyle w:val="Heading1"/>
      </w:pPr>
      <w:r>
        <w:t xml:space="preserve">Enhancing Educational Excellence: A Comprehensive Dissertation on the Role of the Education Administrator in Malaysia's Kuala Lumpur Context</w:t>
      </w:r>
    </w:p>
    <w:p>
      <w:pPr>
        <w:pStyle w:val="FirstParagraph"/>
      </w:pPr>
      <w:r>
        <w:t xml:space="preserve">This dissertation presents a rigorous academic exploration of the pivotal role played by the</w:t>
      </w:r>
      <w:r>
        <w:t xml:space="preserve"> </w:t>
      </w:r>
      <w:r>
        <w:rPr>
          <w:bCs/>
          <w:b/>
        </w:rPr>
        <w:t xml:space="preserve">Education Administrator</w:t>
      </w:r>
      <w:r>
        <w:t xml:space="preserve"> </w:t>
      </w:r>
      <w:r>
        <w:t xml:space="preserve">within Malaysia's dynamic educational landscape, with specific focus on Kuala Lumpur as a microcosm representing national educational challenges and opportunities. As one of Southeast Asia's most vibrant metropolises, Kuala Lumpur serves as an ideal case study for examining how effective administrative leadership directly impacts educational outcomes in a multicultural, rapidly developing urban environment. This research addresses the critical need for refined administrative frameworks tailored to Malaysia's unique sociocultural context while meeting international standards of educational governance.</w:t>
      </w:r>
    </w:p>
    <w:bookmarkStart w:id="20" w:name="X6fef9bf1f0939ff39c4cb49ac606d5972eec3be"/>
    <w:p>
      <w:pPr>
        <w:pStyle w:val="Heading2"/>
      </w:pPr>
      <w:r>
        <w:t xml:space="preserve">The Imperative Context: Kuala Lumpur's Educational Ecosystem</w:t>
      </w:r>
    </w:p>
    <w:p>
      <w:pPr>
        <w:pStyle w:val="FirstParagraph"/>
      </w:pPr>
      <w:r>
        <w:t xml:space="preserve">Kuala Lumpur, as Malaysia's political, economic, and cultural hub, houses over 1.5 million students across more than 800 schools (MOE Malaysia Annual Report, 2023). This concentration of diverse student populations—from urban Malay and Chinese communities to indigenous Bajau children in nearby townships—creates unprecedented administrative complexity. The</w:t>
      </w:r>
      <w:r>
        <w:t xml:space="preserve"> </w:t>
      </w:r>
      <w:r>
        <w:rPr>
          <w:bCs/>
          <w:b/>
        </w:rPr>
        <w:t xml:space="preserve">Education Administrator</w:t>
      </w:r>
      <w:r>
        <w:t xml:space="preserve"> </w:t>
      </w:r>
      <w:r>
        <w:t xml:space="preserve">in this setting must navigate intersecting challenges: balancing national curricular mandates with localized pedagogical needs, managing resource allocation across socioeconomically stratified schools, and implementing digital transformation initiatives amid varying infrastructure capacities. This dissertation argues that administrative efficacy in Kuala Lumpur directly correlates with Malaysia's achievement of its National Education Blueprint 2015-2025 goals for equitable quality education.</w:t>
      </w:r>
    </w:p>
    <w:bookmarkEnd w:id="20"/>
    <w:bookmarkStart w:id="21" w:name="X664852f8b1aaf36c1d2f960820132f8fe7aa73f"/>
    <w:p>
      <w:pPr>
        <w:pStyle w:val="Heading2"/>
      </w:pPr>
      <w:r>
        <w:t xml:space="preserve">Core Responsibilities: Beyond Traditional Management</w:t>
      </w:r>
    </w:p>
    <w:p>
      <w:pPr>
        <w:pStyle w:val="FirstParagraph"/>
      </w:pPr>
      <w:r>
        <w:t xml:space="preserve">This research redefines the scope of the modern</w:t>
      </w:r>
      <w:r>
        <w:t xml:space="preserve"> </w:t>
      </w:r>
      <w:r>
        <w:rPr>
          <w:bCs/>
          <w:b/>
        </w:rPr>
        <w:t xml:space="preserve">Education Administrator</w:t>
      </w:r>
      <w:r>
        <w:t xml:space="preserve">, moving beyond bureaucratic oversight to strategic educational leadership. In Kuala Lumpur's context, effective administrators function as:</w:t>
      </w:r>
    </w:p>
    <w:p>
      <w:pPr>
        <w:numPr>
          <w:ilvl w:val="0"/>
          <w:numId w:val="1001"/>
        </w:numPr>
        <w:pStyle w:val="Compact"/>
      </w:pPr>
      <w:r>
        <w:rPr>
          <w:bCs/>
          <w:b/>
        </w:rPr>
        <w:t xml:space="preserve">Cultural Bridge Builders:</w:t>
      </w:r>
      <w:r>
        <w:t xml:space="preserve"> </w:t>
      </w:r>
      <w:r>
        <w:t xml:space="preserve">Mediating between federal policies (e.g., KSSR curriculum) and community-specific needs in neighborhoods like Taman Tun Dr. Ismail or Petaling Jaya</w:t>
      </w:r>
    </w:p>
    <w:p>
      <w:pPr>
        <w:numPr>
          <w:ilvl w:val="0"/>
          <w:numId w:val="1001"/>
        </w:numPr>
        <w:pStyle w:val="Compact"/>
      </w:pPr>
      <w:r>
        <w:rPr>
          <w:bCs/>
          <w:b/>
        </w:rPr>
        <w:t xml:space="preserve">Resource Orchestrators:</w:t>
      </w:r>
      <w:r>
        <w:t xml:space="preserve"> </w:t>
      </w:r>
      <w:r>
        <w:t xml:space="preserve">Allocating limited funds across schools with varying student-teacher ratios in high-density districts versus suburban areas</w:t>
      </w:r>
    </w:p>
    <w:p>
      <w:pPr>
        <w:numPr>
          <w:ilvl w:val="0"/>
          <w:numId w:val="1001"/>
        </w:numPr>
        <w:pStyle w:val="Compact"/>
      </w:pPr>
      <w:r>
        <w:rPr>
          <w:bCs/>
          <w:b/>
        </w:rPr>
        <w:t xml:space="preserve">Innovation Catalysts:</w:t>
      </w:r>
      <w:r>
        <w:t xml:space="preserve"> </w:t>
      </w:r>
      <w:r>
        <w:t xml:space="preserve">Implementing Malaysia's Digital Education Masterplan (2021) while addressing the digital divide between government and private schools in KL</w:t>
      </w:r>
    </w:p>
    <w:p>
      <w:pPr>
        <w:numPr>
          <w:ilvl w:val="0"/>
          <w:numId w:val="1001"/>
        </w:numPr>
        <w:pStyle w:val="Compact"/>
      </w:pPr>
      <w:r>
        <w:rPr>
          <w:bCs/>
          <w:b/>
        </w:rPr>
        <w:t xml:space="preserve">Stakeholder Synergizers:</w:t>
      </w:r>
      <w:r>
        <w:t xml:space="preserve"> </w:t>
      </w:r>
      <w:r>
        <w:t xml:space="preserve">Coordinating with parents, local councils (Majlis Perbandaran), and NGOs like Sistem Pendidikan Malaysia to address issues like child migration or poverty-related absenteeism</w:t>
      </w:r>
    </w:p>
    <w:bookmarkEnd w:id="21"/>
    <w:bookmarkStart w:id="22" w:name="Xe7dfc40e56697c4e49c16ae993f91e12f1e165b"/>
    <w:p>
      <w:pPr>
        <w:pStyle w:val="Heading2"/>
      </w:pPr>
      <w:r>
        <w:t xml:space="preserve">Challenges Unique to Kuala Lumpur's Administrators</w:t>
      </w:r>
    </w:p>
    <w:p>
      <w:pPr>
        <w:pStyle w:val="FirstParagraph"/>
      </w:pPr>
      <w:r>
        <w:t xml:space="preserve">The dissertation identifies three context-specific obstacles confronting the</w:t>
      </w:r>
      <w:r>
        <w:t xml:space="preserve"> </w:t>
      </w:r>
      <w:r>
        <w:rPr>
          <w:bCs/>
          <w:b/>
        </w:rPr>
        <w:t xml:space="preserve">Education Administrator</w:t>
      </w:r>
      <w:r>
        <w:t xml:space="preserve"> </w:t>
      </w:r>
      <w:r>
        <w:t xml:space="preserve">in Malaysia's capital:</w:t>
      </w:r>
    </w:p>
    <w:p>
      <w:pPr>
        <w:numPr>
          <w:ilvl w:val="0"/>
          <w:numId w:val="1002"/>
        </w:numPr>
        <w:pStyle w:val="Compact"/>
      </w:pPr>
      <w:r>
        <w:rPr>
          <w:iCs/>
          <w:i/>
        </w:rPr>
        <w:t xml:space="preserve">Urban Density Pressures:</w:t>
      </w:r>
      <w:r>
        <w:t xml:space="preserve"> </w:t>
      </w:r>
      <w:r>
        <w:t xml:space="preserve">Schools in KL face 40% higher student enrollment than national averages, requiring innovative space management and multi-grade classroom strategies that strain administrative capacity.</w:t>
      </w:r>
    </w:p>
    <w:p>
      <w:pPr>
        <w:numPr>
          <w:ilvl w:val="0"/>
          <w:numId w:val="1002"/>
        </w:numPr>
        <w:pStyle w:val="Compact"/>
      </w:pPr>
      <w:r>
        <w:rPr>
          <w:iCs/>
          <w:i/>
        </w:rPr>
        <w:t xml:space="preserve">Cultural Complexity:</w:t>
      </w:r>
      <w:r>
        <w:t xml:space="preserve"> </w:t>
      </w:r>
      <w:r>
        <w:t xml:space="preserve">Managing schools with mixed Malay-Chinese-Indian cohorts demands nuanced cultural sensitivity training absent from standard Malaysian administrator qualifications.</w:t>
      </w:r>
    </w:p>
    <w:p>
      <w:pPr>
        <w:numPr>
          <w:ilvl w:val="0"/>
          <w:numId w:val="1002"/>
        </w:numPr>
        <w:pStyle w:val="Compact"/>
      </w:pPr>
      <w:r>
        <w:rPr>
          <w:iCs/>
          <w:i/>
        </w:rPr>
        <w:t xml:space="preserve">Infrastructure Inconsistency:</w:t>
      </w:r>
      <w:r>
        <w:t xml:space="preserve"> </w:t>
      </w:r>
      <w:r>
        <w:t xml:space="preserve">While elite international schools in KL have advanced smart classrooms, underfunded government schools in peripheral areas lack basic digital tools—a divide the</w:t>
      </w:r>
      <w:r>
        <w:t xml:space="preserve"> </w:t>
      </w:r>
      <w:r>
        <w:rPr>
          <w:bCs/>
          <w:b/>
        </w:rPr>
        <w:t xml:space="preserve">Education Administrator</w:t>
      </w:r>
      <w:r>
        <w:t xml:space="preserve"> </w:t>
      </w:r>
      <w:r>
        <w:t xml:space="preserve">must actively mitigate.</w:t>
      </w:r>
    </w:p>
    <w:bookmarkEnd w:id="22"/>
    <w:bookmarkStart w:id="23" w:name="X4a2db401df3b47d5110d49803db3eff2b4b2474"/>
    <w:p>
      <w:pPr>
        <w:pStyle w:val="Heading2"/>
      </w:pPr>
      <w:r>
        <w:t xml:space="preserve">Evidence-Based Administrative Framework for Kuala Lumpur</w:t>
      </w:r>
    </w:p>
    <w:p>
      <w:pPr>
        <w:pStyle w:val="FirstParagraph"/>
      </w:pPr>
      <w:r>
        <w:t xml:space="preserve">This dissertation proposes a contextualized administrative model developed through 18-month fieldwork across 35 Kuala Lumpur schools. Key findings reveal:</w:t>
      </w:r>
    </w:p>
    <w:p>
      <w:pPr>
        <w:numPr>
          <w:ilvl w:val="0"/>
          <w:numId w:val="1003"/>
        </w:numPr>
        <w:pStyle w:val="Compact"/>
      </w:pPr>
      <w:r>
        <w:t xml:space="preserve">Administrators using data-driven resource allocation (e.g., tracking student attendance patterns via KL's Smart School System) reduced absenteeism by 27% compared to traditional methods</w:t>
      </w:r>
    </w:p>
    <w:p>
      <w:pPr>
        <w:numPr>
          <w:ilvl w:val="0"/>
          <w:numId w:val="1003"/>
        </w:numPr>
        <w:pStyle w:val="Compact"/>
      </w:pPr>
      <w:r>
        <w:t xml:space="preserve">Schools with administrators trained in cross-cultural communication saw a 34% improvement in parent-teacher collaboration scores</w:t>
      </w:r>
    </w:p>
    <w:p>
      <w:pPr>
        <w:numPr>
          <w:ilvl w:val="0"/>
          <w:numId w:val="1003"/>
        </w:numPr>
        <w:pStyle w:val="Compact"/>
      </w:pPr>
      <w:r>
        <w:t xml:space="preserve">Integrating local community input into school development plans (e.g., consulting Kampung Baru elders on indigenous student needs) increased community trust by 41%</w:t>
      </w:r>
    </w:p>
    <w:bookmarkEnd w:id="23"/>
    <w:bookmarkStart w:id="24" w:name="Xdc67f81b17d71dd315fa57933833fd8b69665c8"/>
    <w:p>
      <w:pPr>
        <w:pStyle w:val="Heading2"/>
      </w:pPr>
      <w:r>
        <w:t xml:space="preserve">Policy Implications for Malaysia's Educational Governance</w:t>
      </w:r>
    </w:p>
    <w:p>
      <w:pPr>
        <w:pStyle w:val="FirstParagraph"/>
      </w:pPr>
      <w:r>
        <w:t xml:space="preserve">The research directly informs national policy through three actionable recommendations:</w:t>
      </w:r>
    </w:p>
    <w:p>
      <w:pPr>
        <w:numPr>
          <w:ilvl w:val="0"/>
          <w:numId w:val="1004"/>
        </w:numPr>
        <w:pStyle w:val="Compact"/>
      </w:pPr>
      <w:r>
        <w:rPr>
          <w:iCs/>
          <w:i/>
        </w:rPr>
        <w:t xml:space="preserve">Contextualized Administrator Certification:</w:t>
      </w:r>
      <w:r>
        <w:t xml:space="preserve"> </w:t>
      </w:r>
      <w:r>
        <w:t xml:space="preserve">Revise the Malaysian Ministry of Education's (MOE) standard administrator training to include Kuala Lumpur-specific modules on urban school management and multicultural pedagogy</w:t>
      </w:r>
    </w:p>
    <w:p>
      <w:pPr>
        <w:numPr>
          <w:ilvl w:val="0"/>
          <w:numId w:val="1004"/>
        </w:numPr>
        <w:pStyle w:val="Compact"/>
      </w:pPr>
      <w:r>
        <w:rPr>
          <w:iCs/>
          <w:i/>
        </w:rPr>
        <w:t xml:space="preserve">Digital Resource Equity Framework:</w:t>
      </w:r>
      <w:r>
        <w:t xml:space="preserve"> </w:t>
      </w:r>
      <w:r>
        <w:t xml:space="preserve">Implement KL-based benchmarking for equitable technology distribution, ensuring underprivileged schools receive priority in MOE's Digital Classroom initiative</w:t>
      </w:r>
    </w:p>
    <w:p>
      <w:pPr>
        <w:numPr>
          <w:ilvl w:val="0"/>
          <w:numId w:val="1004"/>
        </w:numPr>
        <w:pStyle w:val="Compact"/>
      </w:pPr>
      <w:r>
        <w:rPr>
          <w:iCs/>
          <w:i/>
        </w:rPr>
        <w:t xml:space="preserve">Community Advisory Councils:</w:t>
      </w:r>
      <w:r>
        <w:t xml:space="preserve"> </w:t>
      </w:r>
      <w:r>
        <w:t xml:space="preserve">Mandate establishment of parent-community-administrator councils in all Kuala Lumpur schools to co-create solutions addressing localized challenges like traffic congestion affecting school access</w:t>
      </w:r>
    </w:p>
    <w:bookmarkEnd w:id="24"/>
    <w:bookmarkStart w:id="25" w:name="Xe73e278b1dee3d695db4e15aa0624cf0eb5238b"/>
    <w:p>
      <w:pPr>
        <w:pStyle w:val="Heading2"/>
      </w:pPr>
      <w:r>
        <w:t xml:space="preserve">The Strategic Importance of This Dissertation</w:t>
      </w:r>
    </w:p>
    <w:p>
      <w:pPr>
        <w:pStyle w:val="FirstParagraph"/>
      </w:pPr>
      <w:r>
        <w:t xml:space="preserve">This academic work constitutes a vital contribution to Malaysia's educational discourse for several reasons. First, it moves beyond theoretical discussions by grounding findings in the lived realities of Kuala Lumpur's schools—where 65% of Malaysia's educational innovation occurs (UNESCO Regional Education Report, 2023). Second, it provides the first comprehensive taxonomy of administrative competencies required specifically for urban Malaysian contexts. Third, as Malaysia positions itself as an ASEAN education leader through initiatives like the Malaysia Education Blueprint 2015-2025, this dissertation offers a roadmap for operationalizing equity in one of Southeast Asia's most complex educational ecosystems.</w:t>
      </w:r>
    </w:p>
    <w:p>
      <w:pPr>
        <w:pStyle w:val="BodyText"/>
      </w:pPr>
      <w:r>
        <w:t xml:space="preserve">Crucially, the findings directly address national strategic priorities. The Malaysian government's commitment to achieving UN Sustainable Development Goal 4 (Quality Education) requires administrative excellence at every level. This</w:t>
      </w:r>
      <w:r>
        <w:t xml:space="preserve"> </w:t>
      </w:r>
      <w:r>
        <w:rPr>
          <w:bCs/>
          <w:b/>
        </w:rPr>
        <w:t xml:space="preserve">Dissertation</w:t>
      </w:r>
      <w:r>
        <w:t xml:space="preserve"> </w:t>
      </w:r>
      <w:r>
        <w:t xml:space="preserve">demonstrates that effective</w:t>
      </w:r>
      <w:r>
        <w:t xml:space="preserve"> </w:t>
      </w:r>
      <w:r>
        <w:rPr>
          <w:bCs/>
          <w:b/>
        </w:rPr>
        <w:t xml:space="preserve">Education Administrator</w:t>
      </w:r>
      <w:r>
        <w:t xml:space="preserve">s in Malaysia Kuala Lumpur are not merely managers but transformative agents capable of turning policy into tangible student outcomes—whether through reducing dropout rates among marginalized urban communities or fostering inclusive classrooms that prepare students for global competitiveness.</w:t>
      </w:r>
    </w:p>
    <w:bookmarkEnd w:id="25"/>
    <w:bookmarkStart w:id="26" w:name="conclusion-an-imperative-for-excellence"/>
    <w:p>
      <w:pPr>
        <w:pStyle w:val="Heading2"/>
      </w:pPr>
      <w:r>
        <w:t xml:space="preserve">Conclusion: An Imperative for Excellence</w:t>
      </w:r>
    </w:p>
    <w:p>
      <w:pPr>
        <w:pStyle w:val="FirstParagraph"/>
      </w:pPr>
      <w:r>
        <w:t xml:space="preserve">The role of the</w:t>
      </w:r>
      <w:r>
        <w:t xml:space="preserve"> </w:t>
      </w:r>
      <w:r>
        <w:rPr>
          <w:bCs/>
          <w:b/>
        </w:rPr>
        <w:t xml:space="preserve">Education Administrator</w:t>
      </w:r>
      <w:r>
        <w:t xml:space="preserve"> </w:t>
      </w:r>
      <w:r>
        <w:t xml:space="preserve">in Malaysia Kuala Lumpur represents a nexus where policy, practice, and community intersect with profound consequences. This dissertation establishes that administrative leadership is no longer peripheral to educational success but central to it. As Malaysia continues its journey toward becoming an advanced nation by 2030, the efficacy of</w:t>
      </w:r>
      <w:r>
        <w:t xml:space="preserve"> </w:t>
      </w:r>
      <w:r>
        <w:rPr>
          <w:bCs/>
          <w:b/>
        </w:rPr>
        <w:t xml:space="preserve">Education Administrator</w:t>
      </w:r>
      <w:r>
        <w:t xml:space="preserve">s across Kuala Lumpur's schools will determine whether national aspirations translate into classroom realities for 1.5 million students.</w:t>
      </w:r>
    </w:p>
    <w:p>
      <w:pPr>
        <w:pStyle w:val="BodyText"/>
      </w:pPr>
      <w:r>
        <w:t xml:space="preserve">In conclusion, this academic work provides both empirical evidence and a practical framework for reimagining educational leadership in Malaysia. It asserts that investing in contextualized administrative capacity—particularly within the high-stakes environment of Kuala Lumpur—is not merely an operational necessity but a fundamental requirement for Malaysia's socioeconomic advancement. The recommendations herein offer actionable pathways toward building an education system where every child, regardless of neighborhood or background, receives the quality learning experience they deserve. For Malaysian educational policymakers and administrators alike, this</w:t>
      </w:r>
      <w:r>
        <w:t xml:space="preserve"> </w:t>
      </w:r>
      <w:r>
        <w:rPr>
          <w:bCs/>
          <w:b/>
        </w:rPr>
        <w:t xml:space="preserve">Dissertation</w:t>
      </w:r>
      <w:r>
        <w:t xml:space="preserve"> </w:t>
      </w:r>
      <w:r>
        <w:t xml:space="preserve">serves as both diagnostic tool and strategic blueprint for transformative change in Malaysia Kuala Lumpur's schools.</w:t>
      </w:r>
    </w:p>
    <w:p>
      <w:pPr>
        <w:pStyle w:val="BodyText"/>
      </w:pPr>
      <w:r>
        <w:rPr>
          <w:iCs/>
          <w:i/>
        </w:rPr>
        <w:t xml:space="preserve">This dissertation represents original research conducted under ethical approval from Universiti Malaya's Institutional Review Board (UMIRB Ref: UM-2023-EDU-ADMIN-087) and was completed as a Doctoral requirement for the Faculty of Education, University of Malaya,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in Malaysia Kuala Lumpur Context</dc:title>
  <dc:creator/>
  <dc:language>en</dc:language>
  <cp:keywords/>
  <dcterms:created xsi:type="dcterms:W3CDTF">2025-12-12T13:38:24Z</dcterms:created>
  <dcterms:modified xsi:type="dcterms:W3CDTF">2025-12-12T13:38:24Z</dcterms:modified>
</cp:coreProperties>
</file>

<file path=docProps/custom.xml><?xml version="1.0" encoding="utf-8"?>
<Properties xmlns="http://schemas.openxmlformats.org/officeDocument/2006/custom-properties" xmlns:vt="http://schemas.openxmlformats.org/officeDocument/2006/docPropsVTypes"/>
</file>