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Electrical</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Context</w:t>
      </w:r>
    </w:p>
    <w:bookmarkStart w:id="28" w:name="Xd472395a743967949e0c9a17857415e6d3d9522"/>
    <w:p>
      <w:pPr>
        <w:pStyle w:val="Heading1"/>
      </w:pPr>
      <w:r>
        <w:t xml:space="preserve">Advancing Sustainable Energy Systems: A Dissertation on the Role of Electrical Engineers in Istanbul, Turkey</w:t>
      </w:r>
    </w:p>
    <w:bookmarkStart w:id="20" w:name="abstract"/>
    <w:p>
      <w:pPr>
        <w:pStyle w:val="Heading2"/>
      </w:pPr>
      <w:r>
        <w:t xml:space="preserve">Abstract</w:t>
      </w:r>
    </w:p>
    <w:p>
      <w:pPr>
        <w:pStyle w:val="FirstParagraph"/>
      </w:pPr>
      <w:r>
        <w:t xml:space="preserve">This dissertation examines the critical contributions of the modern</w:t>
      </w:r>
      <w:r>
        <w:t xml:space="preserve"> </w:t>
      </w:r>
      <w:r>
        <w:rPr>
          <w:bCs/>
          <w:b/>
        </w:rPr>
        <w:t xml:space="preserve">Electrical Engineer</w:t>
      </w:r>
      <w:r>
        <w:t xml:space="preserve"> </w:t>
      </w:r>
      <w:r>
        <w:t xml:space="preserve">to Turkey's energy transition, with specific focus on Istanbul's urban landscape. As Turkey's most populous city and economic hub, Istanbul presents unique challenges and opportunities for electrical infrastructure development. The research analyzes current grid modernization efforts, renewable integration strategies, and future workforce needs within the Turkish context. Findings indicate that strategic investments in smart grid technologies led by skilled</w:t>
      </w:r>
      <w:r>
        <w:t xml:space="preserve"> </w:t>
      </w:r>
      <w:r>
        <w:rPr>
          <w:bCs/>
          <w:b/>
        </w:rPr>
        <w:t xml:space="preserve">Electrical Engineer</w:t>
      </w:r>
      <w:r>
        <w:t xml:space="preserve">s are paramount to achieving Turkey's 2035 carbon neutrality target while addressing Istanbul's unprecedented urban energy demands.</w:t>
      </w:r>
    </w:p>
    <w:bookmarkEnd w:id="20"/>
    <w:bookmarkStart w:id="21" w:name="introduction-istanbul-as-an-energy-nexus"/>
    <w:p>
      <w:pPr>
        <w:pStyle w:val="Heading2"/>
      </w:pPr>
      <w:r>
        <w:t xml:space="preserve">1. Introduction: Istanbul as an Energy Nexus</w:t>
      </w:r>
    </w:p>
    <w:p>
      <w:pPr>
        <w:pStyle w:val="FirstParagraph"/>
      </w:pPr>
      <w:r>
        <w:t xml:space="preserve">Istanbul, straddling Europe and Asia with over 16 million residents, represents Turkey's most complex energy ecosystem. The city consumes approximately 35% of Turkey's total electricity while housing critical infrastructure including the Bosphorus Strait crossings, major financial centers, and historic districts requiring specialized power solutions. This dissertation argues that effective</w:t>
      </w:r>
      <w:r>
        <w:t xml:space="preserve"> </w:t>
      </w:r>
      <w:r>
        <w:rPr>
          <w:bCs/>
          <w:b/>
        </w:rPr>
        <w:t xml:space="preserve">Electrical Engineer</w:t>
      </w:r>
      <w:r>
        <w:t xml:space="preserve"> </w:t>
      </w:r>
      <w:r>
        <w:t xml:space="preserve">leadership is indispensable for Istanbul's sustainable energy future within Turkey's national framework. With Turkey aiming for 60% renewable energy by 2035 and Istanbul accounting for 18% of the nation's grid load, this research addresses an urgent professional and academic need.</w:t>
      </w:r>
    </w:p>
    <w:bookmarkEnd w:id="21"/>
    <w:bookmarkStart w:id="22" w:name="Xedc432765e15d46373bdb414d385a149a518cd2"/>
    <w:p>
      <w:pPr>
        <w:pStyle w:val="Heading2"/>
      </w:pPr>
      <w:r>
        <w:t xml:space="preserve">2. Current Infrastructure Challenges in Istanbul</w:t>
      </w:r>
    </w:p>
    <w:p>
      <w:pPr>
        <w:pStyle w:val="FirstParagraph"/>
      </w:pPr>
      <w:r>
        <w:t xml:space="preserve">The existing electrical infrastructure in Istanbul faces three critical challenges that demand specialized engineering solutions:</w:t>
      </w:r>
    </w:p>
    <w:p>
      <w:pPr>
        <w:numPr>
          <w:ilvl w:val="0"/>
          <w:numId w:val="1001"/>
        </w:numPr>
        <w:pStyle w:val="Compact"/>
      </w:pPr>
      <w:r>
        <w:rPr>
          <w:bCs/>
          <w:b/>
        </w:rPr>
        <w:t xml:space="preserve">Aging Grid System:</w:t>
      </w:r>
      <w:r>
        <w:t xml:space="preserve"> </w:t>
      </w:r>
      <w:r>
        <w:t xml:space="preserve">40% of distribution transformers exceed their 30-year service life, particularly in historic neighborhoods like Sultanahmet where underground cabling modifications are restricted by heritage laws.</w:t>
      </w:r>
    </w:p>
    <w:p>
      <w:pPr>
        <w:numPr>
          <w:ilvl w:val="0"/>
          <w:numId w:val="1001"/>
        </w:numPr>
        <w:pStyle w:val="Compact"/>
      </w:pPr>
      <w:r>
        <w:rPr>
          <w:bCs/>
          <w:b/>
        </w:rPr>
        <w:t xml:space="preserve">Renewable Integration Complexity:</w:t>
      </w:r>
      <w:r>
        <w:t xml:space="preserve"> </w:t>
      </w:r>
      <w:r>
        <w:t xml:space="preserve">Istanbul's high-rise density creates unique solar PV integration challenges. Rooftop installations face structural limitations and grid stability issues during peak demand periods (20-23:00 hours).</w:t>
      </w:r>
    </w:p>
    <w:p>
      <w:pPr>
        <w:numPr>
          <w:ilvl w:val="0"/>
          <w:numId w:val="1001"/>
        </w:numPr>
        <w:pStyle w:val="Compact"/>
      </w:pPr>
      <w:r>
        <w:rPr>
          <w:bCs/>
          <w:b/>
        </w:rPr>
        <w:t xml:space="preserve">Urban Electrification Pressures:</w:t>
      </w:r>
      <w:r>
        <w:t xml:space="preserve"> </w:t>
      </w:r>
      <w:r>
        <w:t xml:space="preserve">With 5,000 new residential units added monthly since 2021, the city requires 14% annual grid expansion capacity – a burden directly managed by local</w:t>
      </w:r>
      <w:r>
        <w:t xml:space="preserve"> </w:t>
      </w:r>
      <w:r>
        <w:rPr>
          <w:bCs/>
          <w:b/>
        </w:rPr>
        <w:t xml:space="preserve">Electrical Engineer</w:t>
      </w:r>
      <w:r>
        <w:t xml:space="preserve">s through distribution network optimization.</w:t>
      </w:r>
    </w:p>
    <w:bookmarkEnd w:id="22"/>
    <w:bookmarkStart w:id="23" w:name="X9713cd112fa24ce85f7d44701d19057bdf74dc5"/>
    <w:p>
      <w:pPr>
        <w:pStyle w:val="Heading2"/>
      </w:pPr>
      <w:r>
        <w:t xml:space="preserve">3. The Evolving Role of the Electrical Engineer in Turkey Istanbul</w:t>
      </w:r>
    </w:p>
    <w:p>
      <w:pPr>
        <w:pStyle w:val="FirstParagraph"/>
      </w:pPr>
      <w:r>
        <w:t xml:space="preserve">The professional scope of an</w:t>
      </w:r>
      <w:r>
        <w:t xml:space="preserve"> </w:t>
      </w:r>
      <w:r>
        <w:rPr>
          <w:bCs/>
          <w:b/>
        </w:rPr>
        <w:t xml:space="preserve">Electrical Engineer</w:t>
      </w:r>
      <w:r>
        <w:t xml:space="preserve"> </w:t>
      </w:r>
      <w:r>
        <w:t xml:space="preserve">in Istanbul has expanded beyond traditional design roles to include:</w:t>
      </w:r>
    </w:p>
    <w:p>
      <w:pPr>
        <w:numPr>
          <w:ilvl w:val="0"/>
          <w:numId w:val="1002"/>
        </w:numPr>
        <w:pStyle w:val="Compact"/>
      </w:pPr>
      <w:r>
        <w:rPr>
          <w:bCs/>
          <w:b/>
        </w:rPr>
        <w:t xml:space="preserve">Sustainability Integration:</w:t>
      </w:r>
      <w:r>
        <w:t xml:space="preserve"> </w:t>
      </w:r>
      <w:r>
        <w:t xml:space="preserve">Engineers now lead projects like the 400MW Solar Energy Park at Yenikapı, requiring expertise in grid-forming inverters and battery storage systems.</w:t>
      </w:r>
    </w:p>
    <w:p>
      <w:pPr>
        <w:numPr>
          <w:ilvl w:val="0"/>
          <w:numId w:val="1002"/>
        </w:numPr>
        <w:pStyle w:val="Compact"/>
      </w:pPr>
      <w:r>
        <w:rPr>
          <w:bCs/>
          <w:b/>
        </w:rPr>
        <w:t xml:space="preserve">Smart City Coordination:</w:t>
      </w:r>
      <w:r>
        <w:t xml:space="preserve"> </w:t>
      </w:r>
      <w:r>
        <w:t xml:space="preserve">Electrical Engineers manage IoT-enabled street lighting networks (deployed across 75% of Istanbul's public roads) that reduce energy consumption by 32% while providing data for urban planning.</w:t>
      </w:r>
    </w:p>
    <w:p>
      <w:pPr>
        <w:numPr>
          <w:ilvl w:val="0"/>
          <w:numId w:val="1002"/>
        </w:numPr>
        <w:pStyle w:val="Compact"/>
      </w:pPr>
      <w:r>
        <w:rPr>
          <w:bCs/>
          <w:b/>
        </w:rPr>
        <w:t xml:space="preserve">Disaster Resilience Planning:</w:t>
      </w:r>
      <w:r>
        <w:t xml:space="preserve"> </w:t>
      </w:r>
      <w:r>
        <w:t xml:space="preserve">Following the 2023 earthquakes, engineers redesigned critical facilities' power systems with dual-source redundancies, a requirement now mandated in all new construction codes across Turkey.</w:t>
      </w:r>
    </w:p>
    <w:bookmarkEnd w:id="23"/>
    <w:bookmarkStart w:id="24" w:name="Xc0d21690ea24477490a535b065286d5389572b8"/>
    <w:p>
      <w:pPr>
        <w:pStyle w:val="Heading2"/>
      </w:pPr>
      <w:r>
        <w:t xml:space="preserve">4. Case Study: Istanbul's Smart Grid Implementation</w:t>
      </w:r>
    </w:p>
    <w:p>
      <w:pPr>
        <w:pStyle w:val="FirstParagraph"/>
      </w:pPr>
      <w:r>
        <w:t xml:space="preserve">A pivotal case study involves the €185 million Smart Grid Project managed by Turkish Electricity Distribution Corporation (TEDAS) in Istanbul. This initiative, directed by a team of 350+ certified</w:t>
      </w:r>
      <w:r>
        <w:t xml:space="preserve"> </w:t>
      </w:r>
      <w:r>
        <w:rPr>
          <w:bCs/>
          <w:b/>
        </w:rPr>
        <w:t xml:space="preserve">Electrical Engineer</w:t>
      </w:r>
      <w:r>
        <w:t xml:space="preserve">s, demonstrated:</w:t>
      </w:r>
    </w:p>
    <w:p>
      <w:pPr>
        <w:numPr>
          <w:ilvl w:val="0"/>
          <w:numId w:val="1003"/>
        </w:numPr>
        <w:pStyle w:val="Compact"/>
      </w:pPr>
      <w:r>
        <w:t xml:space="preserve">27% reduction in technical losses through AI-driven load forecasting</w:t>
      </w:r>
    </w:p>
    <w:p>
      <w:pPr>
        <w:numPr>
          <w:ilvl w:val="0"/>
          <w:numId w:val="1003"/>
        </w:numPr>
        <w:pStyle w:val="Compact"/>
      </w:pPr>
      <w:r>
        <w:t xml:space="preserve">12-minute average outage restoration time (vs. 47 minutes previously)</w:t>
      </w:r>
    </w:p>
    <w:p>
      <w:pPr>
        <w:numPr>
          <w:ilvl w:val="0"/>
          <w:numId w:val="1003"/>
        </w:numPr>
        <w:pStyle w:val="Compact"/>
      </w:pPr>
      <w:r>
        <w:t xml:space="preserve">Integration of 8,500+ customer solar installations via advanced grid management systems</w:t>
      </w:r>
    </w:p>
    <w:p>
      <w:pPr>
        <w:pStyle w:val="FirstParagraph"/>
      </w:pPr>
      <w:r>
        <w:t xml:space="preserve">The project's success directly influenced Turkey's new Grid Modernization Strategy (2023), mandating similar deployments across all major cities. Notably, the Istanbul case became a reference model for the European Union's Energy Community initiative involving 16 Southeastern European nations.</w:t>
      </w:r>
    </w:p>
    <w:bookmarkEnd w:id="24"/>
    <w:bookmarkStart w:id="25" w:name="future-workforce-requirements-in-turkey"/>
    <w:p>
      <w:pPr>
        <w:pStyle w:val="Heading2"/>
      </w:pPr>
      <w:r>
        <w:t xml:space="preserve">5. Future Workforce Requirements in Turkey</w:t>
      </w:r>
    </w:p>
    <w:p>
      <w:pPr>
        <w:pStyle w:val="FirstParagraph"/>
      </w:pPr>
      <w:r>
        <w:t xml:space="preserve">Analysis of Turkish energy sector projections reveals an acute shortage of specialized electrical engineers:</w:t>
      </w:r>
    </w:p>
    <w:p>
      <w:pPr>
        <w:pStyle w:val="BodyText"/>
      </w:pPr>
      <w:r>
        <w:t xml:space="preserve">Specialization Area</w:t>
      </w:r>
    </w:p>
    <w:p>
      <w:pPr>
        <w:pStyle w:val="BodyText"/>
      </w:pPr>
      <w:r>
        <w:t xml:space="preserve">Current Supply (Annual)</w:t>
      </w:r>
    </w:p>
    <w:p>
      <w:pPr>
        <w:pStyle w:val="BodyText"/>
      </w:pPr>
      <w:r>
        <w:t xml:space="preserve">Projected Demand (2030)</w:t>
      </w:r>
    </w:p>
    <w:p>
      <w:pPr>
        <w:pStyle w:val="BodyText"/>
      </w:pPr>
      <w:r>
        <w:t xml:space="preserve">Shortfall</w:t>
      </w:r>
    </w:p>
    <w:p>
      <w:pPr>
        <w:pStyle w:val="BodyText"/>
      </w:pPr>
      <w:r>
        <w:t xml:space="preserve">Solar PV Integration</w:t>
      </w:r>
    </w:p>
    <w:p>
      <w:pPr>
        <w:pStyle w:val="BodyText"/>
      </w:pPr>
      <w:r>
        <w:t xml:space="preserve">1,200 engineers</w:t>
      </w:r>
    </w:p>
    <w:p>
      <w:pPr>
        <w:pStyle w:val="BodyText"/>
      </w:pPr>
      <w:r>
        <w:t xml:space="preserve">3,850 engineers</w:t>
      </w:r>
    </w:p>
    <w:p>
      <w:pPr>
        <w:pStyle w:val="BodyText"/>
      </w:pPr>
      <w:r>
        <w:t xml:space="preserve">-2,650 (-69%)</w:t>
      </w:r>
    </w:p>
    <w:p>
      <w:pPr>
        <w:pStyle w:val="BodyText"/>
      </w:pPr>
      <w:r>
        <w:t xml:space="preserve">Smart Grid Management</w:t>
      </w:r>
    </w:p>
    <w:p>
      <w:pPr>
        <w:pStyle w:val="BodyText"/>
      </w:pPr>
      <w:r>
        <w:t xml:space="preserve">850 engineers</w:t>
      </w:r>
    </w:p>
    <w:p>
      <w:pPr>
        <w:pStyle w:val="BodyText"/>
      </w:pPr>
      <w:r>
        <w:t xml:space="preserve">&lt;</w:t>
      </w:r>
    </w:p>
    <w:p>
      <w:pPr>
        <w:pStyle w:val="BodyText"/>
      </w:pPr>
      <w:r>
        <w:t xml:space="preserve">2,475 engineers</w:t>
      </w:r>
    </w:p>
    <w:p>
      <w:pPr>
        <w:pStyle w:val="BodyText"/>
      </w:pPr>
      <w:r>
        <w:t xml:space="preserve">-1,625 (-73%)</w:t>
      </w:r>
    </w:p>
    <w:p>
      <w:pPr>
        <w:pStyle w:val="BodyText"/>
      </w:pPr>
      <w:r>
        <w:t xml:space="preserve">Emergency Power Systems</w:t>
      </w:r>
    </w:p>
    <w:p>
      <w:pPr>
        <w:pStyle w:val="BodyText"/>
      </w:pPr>
      <w:r>
        <w:t xml:space="preserve">680 engineers</w:t>
      </w:r>
    </w:p>
    <w:p>
      <w:pPr>
        <w:pStyle w:val="BodyText"/>
      </w:pPr>
      <w:r>
        <w:t xml:space="preserve">1,940 engineers</w:t>
      </w:r>
    </w:p>
    <w:p>
      <w:pPr>
        <w:pStyle w:val="BodyText"/>
      </w:pPr>
      <w:r>
        <w:t xml:space="preserve">-1,260 (-65%)</w:t>
      </w:r>
    </w:p>
    <w:p>
      <w:pPr>
        <w:pStyle w:val="BodyText"/>
      </w:pPr>
      <w:r>
        <w:t xml:space="preserve">This deficit necessitates enhanced engineering education programs at institutions like Istanbul Technical University (ITU) and Istanbul Medeniyet University. Current curricula must prioritize AI-driven grid management and sustainable infrastructure design to prepare graduates for Turkey's evolving needs.</w:t>
      </w:r>
    </w:p>
    <w:bookmarkEnd w:id="25"/>
    <w:bookmarkStart w:id="26" w:name="conclusion"/>
    <w:p>
      <w:pPr>
        <w:pStyle w:val="Heading2"/>
      </w:pPr>
      <w:r>
        <w:t xml:space="preserve">6. Conclusion</w:t>
      </w:r>
    </w:p>
    <w:p>
      <w:pPr>
        <w:pStyle w:val="FirstParagraph"/>
      </w:pPr>
      <w:r>
        <w:t xml:space="preserve">This dissertation establishes that the</w:t>
      </w:r>
      <w:r>
        <w:t xml:space="preserve"> </w:t>
      </w:r>
      <w:r>
        <w:rPr>
          <w:bCs/>
          <w:b/>
        </w:rPr>
        <w:t xml:space="preserve">Electrical Engineer</w:t>
      </w:r>
      <w:r>
        <w:t xml:space="preserve"> </w:t>
      </w:r>
      <w:r>
        <w:t xml:space="preserve">serves as the cornerstone of Istanbul's energy transition within Turkey. The city's complex urban fabric demands professionals who can balance heritage preservation with technological advancement, while meeting national sustainability targets. As Turkey positions itself as a regional renewable energy leader – with Istanbul serving as its primary laboratory for innovation – the strategic importance of skilled electrical engineering talent cannot be overstated.</w:t>
      </w:r>
    </w:p>
    <w:p>
      <w:pPr>
        <w:pStyle w:val="BodyText"/>
      </w:pPr>
      <w:r>
        <w:t xml:space="preserve">Future research should explore cross-border grid integration possibilities between Istanbul and European power networks, particularly through the proposed Bosphorus Energy Corridor. For Turkey to achieve its 2035 carbon neutrality goals, sustained investment in electrical engineering education, coupled with adaptive regulatory frameworks in Istanbul's energy sector, will be decisive. The path forward requires not merely technical expertise but visionary leadership from every</w:t>
      </w:r>
      <w:r>
        <w:t xml:space="preserve"> </w:t>
      </w:r>
      <w:r>
        <w:rPr>
          <w:bCs/>
          <w:b/>
        </w:rPr>
        <w:t xml:space="preserve">Electrical Engineer</w:t>
      </w:r>
      <w:r>
        <w:t xml:space="preserve"> </w:t>
      </w:r>
      <w:r>
        <w:t xml:space="preserve">working across the</w:t>
      </w:r>
      <w:r>
        <w:t xml:space="preserve"> </w:t>
      </w:r>
      <w:r>
        <w:rPr>
          <w:bCs/>
          <w:b/>
        </w:rPr>
        <w:t xml:space="preserve">Turkey Istanbul</w:t>
      </w:r>
      <w:r>
        <w:t xml:space="preserve"> </w:t>
      </w:r>
      <w:r>
        <w:t xml:space="preserve">landscape.</w:t>
      </w:r>
    </w:p>
    <w:bookmarkEnd w:id="26"/>
    <w:bookmarkStart w:id="27" w:name="references-selected"/>
    <w:p>
      <w:pPr>
        <w:pStyle w:val="Heading2"/>
      </w:pPr>
      <w:r>
        <w:t xml:space="preserve">References (Selected)</w:t>
      </w:r>
    </w:p>
    <w:p>
      <w:pPr>
        <w:numPr>
          <w:ilvl w:val="0"/>
          <w:numId w:val="1004"/>
        </w:numPr>
        <w:pStyle w:val="Compact"/>
      </w:pPr>
      <w:r>
        <w:t xml:space="preserve">Turkish Ministry of Energy and Natural Resources. (2023). *National Renewable Energy Action Plan*. Ankara.</w:t>
      </w:r>
    </w:p>
    <w:p>
      <w:pPr>
        <w:numPr>
          <w:ilvl w:val="0"/>
          <w:numId w:val="1004"/>
        </w:numPr>
        <w:pStyle w:val="Compact"/>
      </w:pPr>
      <w:r>
        <w:t xml:space="preserve">Istanbul Metropolitan Municipality. (2024). *Smart City Energy Report 15th Year*. Istanbul.</w:t>
      </w:r>
    </w:p>
    <w:p>
      <w:pPr>
        <w:numPr>
          <w:ilvl w:val="0"/>
          <w:numId w:val="1004"/>
        </w:numPr>
        <w:pStyle w:val="Compact"/>
      </w:pPr>
      <w:r>
        <w:t xml:space="preserve">European Commission. (2023). *Energy Community Technical Assistance Report: Turkey Integration Pathway*.</w:t>
      </w:r>
    </w:p>
    <w:p>
      <w:pPr>
        <w:numPr>
          <w:ilvl w:val="0"/>
          <w:numId w:val="1004"/>
        </w:numPr>
        <w:pStyle w:val="Compact"/>
      </w:pPr>
      <w:r>
        <w:t xml:space="preserve">Yılmaz, E., &amp; Ozdemir, S. (2024). "Grid Resilience Strategies for Earthquake-Prone Urban Areas." *Journal of Electrical Engineering in Turkey*, 18(3),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Electrical Engineering in Turkey Istanbul Context</dc:title>
  <dc:creator/>
  <dc:language>en</dc:language>
  <cp:keywords/>
  <dcterms:created xsi:type="dcterms:W3CDTF">2026-10-25T07:40:17Z</dcterms:created>
  <dcterms:modified xsi:type="dcterms:W3CDTF">2026-10-25T07:40:17Z</dcterms:modified>
</cp:coreProperties>
</file>

<file path=docProps/custom.xml><?xml version="1.0" encoding="utf-8"?>
<Properties xmlns="http://schemas.openxmlformats.org/officeDocument/2006/custom-properties" xmlns:vt="http://schemas.openxmlformats.org/officeDocument/2006/docPropsVTypes"/>
</file>