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Belgium</w:t>
      </w:r>
      <w:r>
        <w:t xml:space="preserve"> </w:t>
      </w:r>
      <w:r>
        <w:t xml:space="preserve">Brussels</w:t>
      </w:r>
    </w:p>
    <w:bookmarkStart w:id="28" w:name="X4de99bd9128a2eab0b67d453885f81bc2342ad8"/>
    <w:p>
      <w:pPr>
        <w:pStyle w:val="Heading1"/>
      </w:pPr>
      <w:r>
        <w:t xml:space="preserve">Dissertation: The Strategic Significance of Financial Analysts in the Brussels Financial Ecosystem</w:t>
      </w:r>
    </w:p>
    <w:bookmarkStart w:id="20" w:name="introduction"/>
    <w:p>
      <w:pPr>
        <w:pStyle w:val="Heading2"/>
      </w:pPr>
      <w:r>
        <w:t xml:space="preserve">Introduction</w:t>
      </w:r>
    </w:p>
    <w:p>
      <w:pPr>
        <w:pStyle w:val="FirstParagraph"/>
      </w:pPr>
      <w:r>
        <w:t xml:space="preserve">In the dynamic heart of European finance, Belgium Brussels stands as a critical hub where global economic forces converge. This dissertation examines the multifaceted role of the</w:t>
      </w:r>
      <w:r>
        <w:t xml:space="preserve"> </w:t>
      </w:r>
      <w:r>
        <w:rPr>
          <w:iCs/>
          <w:i/>
        </w:rPr>
        <w:t xml:space="preserve">Financial Analyst</w:t>
      </w:r>
      <w:r>
        <w:t xml:space="preserve"> </w:t>
      </w:r>
      <w:r>
        <w:t xml:space="preserve">within this unique geopolitical and economic landscape. As Brussels serves as the de facto capital of the European Union and hosts major financial institutions, central banks, and multinational corporations, understanding how Financial Analysts operate here is essential for academic and professional discourse. This research explores how evolving regulatory frameworks, EU policy initiatives, and Brussels' strategic position shape the profession's requirements, challenges, and future trajectory.</w:t>
      </w:r>
    </w:p>
    <w:bookmarkEnd w:id="20"/>
    <w:bookmarkStart w:id="21" w:name="X88e93c1fc08d8f03e0afa7939af6ae315e07be6"/>
    <w:p>
      <w:pPr>
        <w:pStyle w:val="Heading2"/>
      </w:pPr>
      <w:r>
        <w:t xml:space="preserve">The Geopolitical Imperative: Why Brussels Matters for Financial Analysis</w:t>
      </w:r>
    </w:p>
    <w:p>
      <w:pPr>
        <w:pStyle w:val="FirstParagraph"/>
      </w:pPr>
      <w:r>
        <w:t xml:space="preserve">Belgium Brussels is not merely a city but the epicenter of European governance. Home to the European Commission, Council of the EU, and European Central Bank (ECB) headquarters, it dictates financial regulations affecting 450 million citizens across 27 member states. A Financial Analyst operating in this environment must navigate complex cross-border frameworks like MiFID II, GDPR for data handling, and the upcoming Digital Finance Package. Unlike traditional financial centers such as London or Frankfurt, Brussels demands analysts who master both technical finance and EU institutional processes. This unique context elevates the Financial Analyst from a data interpreter to a strategic advisor on regulatory compliance and policy impact—a role indispensable for multinational corporations headquartered in Belgium or operating through Brussels offices.</w:t>
      </w:r>
    </w:p>
    <w:bookmarkEnd w:id="21"/>
    <w:bookmarkStart w:id="22" w:name="X27cd8124d51dc7ca8f4125107b87af0abc3e25b"/>
    <w:p>
      <w:pPr>
        <w:pStyle w:val="Heading2"/>
      </w:pPr>
      <w:r>
        <w:t xml:space="preserve">Core Responsibilities of a Financial Analyst in Belgium Brussels</w:t>
      </w:r>
    </w:p>
    <w:p>
      <w:pPr>
        <w:pStyle w:val="FirstParagraph"/>
      </w:pPr>
      <w:r>
        <w:t xml:space="preserve">In the Belgian context, the duties of a Financial Analyst transcend typical market analysis. Key responsibilities include:</w:t>
      </w:r>
    </w:p>
    <w:p>
      <w:pPr>
        <w:numPr>
          <w:ilvl w:val="0"/>
          <w:numId w:val="1001"/>
        </w:numPr>
        <w:pStyle w:val="Compact"/>
      </w:pPr>
      <w:r>
        <w:rPr>
          <w:bCs/>
          <w:b/>
        </w:rPr>
        <w:t xml:space="preserve">EU Regulatory Compliance Analysis:</w:t>
      </w:r>
      <w:r>
        <w:t xml:space="preserve"> </w:t>
      </w:r>
      <w:r>
        <w:t xml:space="preserve">Interpreting directives like SFDR (Sustainable Finance Disclosure Regulation) for investment portfolios.</w:t>
      </w:r>
    </w:p>
    <w:p>
      <w:pPr>
        <w:numPr>
          <w:ilvl w:val="0"/>
          <w:numId w:val="1001"/>
        </w:numPr>
        <w:pStyle w:val="Compact"/>
      </w:pPr>
      <w:r>
        <w:rPr>
          <w:bCs/>
          <w:b/>
        </w:rPr>
        <w:t xml:space="preserve">Multinational Portfolio Management:</w:t>
      </w:r>
      <w:r>
        <w:t xml:space="preserve"> </w:t>
      </w:r>
      <w:r>
        <w:t xml:space="preserve">Assessing fiscal impacts across EU tax jurisdictions for global entities based in Brussels.</w:t>
      </w:r>
    </w:p>
    <w:p>
      <w:pPr>
        <w:numPr>
          <w:ilvl w:val="0"/>
          <w:numId w:val="1001"/>
        </w:numPr>
        <w:pStyle w:val="Compact"/>
      </w:pPr>
      <w:r>
        <w:rPr>
          <w:bCs/>
          <w:b/>
        </w:rPr>
        <w:t xml:space="preserve">Crisis Response Modeling:</w:t>
      </w:r>
      <w:r>
        <w:t xml:space="preserve"> </w:t>
      </w:r>
      <w:r>
        <w:t xml:space="preserve">Predicting market volatility during EU legislative sessions (e.g., banking union reforms).</w:t>
      </w:r>
    </w:p>
    <w:p>
      <w:pPr>
        <w:numPr>
          <w:ilvl w:val="0"/>
          <w:numId w:val="1001"/>
        </w:numPr>
        <w:pStyle w:val="Compact"/>
      </w:pPr>
      <w:r>
        <w:rPr>
          <w:bCs/>
          <w:b/>
        </w:rPr>
        <w:t xml:space="preserve">Economic Policy Forecasting:</w:t>
      </w:r>
      <w:r>
        <w:t xml:space="preserve"> </w:t>
      </w:r>
      <w:r>
        <w:t xml:space="preserve">Advising clients on implications of ECB monetary policy decisions, often announced from Brussels.</w:t>
      </w:r>
    </w:p>
    <w:p>
      <w:pPr>
        <w:pStyle w:val="FirstParagraph"/>
      </w:pPr>
      <w:r>
        <w:t xml:space="preserve">This role requires fluency in French, Dutch, and English—reflecting Belgium's linguistic diversity—while leveraging Brussels' proximity to EU decision-makers for real-time insights. A Financial Analyst here must transform raw data into actionable intelligence that aligns with both corporate strategy and EU policy cycles.</w:t>
      </w:r>
    </w:p>
    <w:bookmarkEnd w:id="22"/>
    <w:bookmarkStart w:id="23" w:name="Xd7c660be57c12c51020e6951dbe563a5adf02ee"/>
    <w:p>
      <w:pPr>
        <w:pStyle w:val="Heading2"/>
      </w:pPr>
      <w:r>
        <w:t xml:space="preserve">Educational and Certification Requirements</w:t>
      </w:r>
    </w:p>
    <w:p>
      <w:pPr>
        <w:pStyle w:val="FirstParagraph"/>
      </w:pPr>
      <w:r>
        <w:t xml:space="preserve">The qualifications for a Financial Analyst in Belgium Brussels exceed standard industry expectations. While CFA or ACMA certifications remain foundational, Brussels-specific competencies are now mandatory:</w:t>
      </w:r>
    </w:p>
    <w:p>
      <w:pPr>
        <w:numPr>
          <w:ilvl w:val="0"/>
          <w:numId w:val="1002"/>
        </w:numPr>
        <w:pStyle w:val="Compact"/>
      </w:pPr>
      <w:r>
        <w:t xml:space="preserve">EU Regulatory Education: Courses on EU financial law (e.g., from KU Leuven's Faculty of Law).</w:t>
      </w:r>
    </w:p>
    <w:p>
      <w:pPr>
        <w:numPr>
          <w:ilvl w:val="0"/>
          <w:numId w:val="1002"/>
        </w:numPr>
        <w:pStyle w:val="Compact"/>
      </w:pPr>
      <w:r>
        <w:t xml:space="preserve">Negotiation Skills for Institutional Stakeholders: Engaging with European Parliament committees or EBA working groups.</w:t>
      </w:r>
    </w:p>
    <w:p>
      <w:pPr>
        <w:numPr>
          <w:ilvl w:val="0"/>
          <w:numId w:val="1002"/>
        </w:numPr>
        <w:pStyle w:val="Compact"/>
      </w:pPr>
      <w:r>
        <w:t xml:space="preserve">Regional Market Expertise: Understanding Belgium's 12th largest GDP in the EU and its unique tax treaties.</w:t>
      </w:r>
    </w:p>
    <w:p>
      <w:pPr>
        <w:pStyle w:val="FirstParagraph"/>
      </w:pPr>
      <w:r>
        <w:t xml:space="preserve">Bruce College of Brussels and Solvay Brussels School now offer specialized tracks in "EU Financial Governance," reflecting the market demand. Without these, even a CFA charterholder would struggle to advise clients navigating Belgium's dual regulatory layer (national law + EU directives).</w:t>
      </w:r>
    </w:p>
    <w:bookmarkEnd w:id="23"/>
    <w:bookmarkStart w:id="24" w:name="Xdd67a7b74a78c4c860f3e215169c4a44d64eb84"/>
    <w:p>
      <w:pPr>
        <w:pStyle w:val="Heading2"/>
      </w:pPr>
      <w:r>
        <w:t xml:space="preserve">Challenges Unique to the Brussels Context</w:t>
      </w:r>
    </w:p>
    <w:p>
      <w:pPr>
        <w:pStyle w:val="FirstParagraph"/>
      </w:pPr>
      <w:r>
        <w:t xml:space="preserve">Financial Analysts in Belgium Brussels face distinct hurdles:</w:t>
      </w:r>
    </w:p>
    <w:p>
      <w:pPr>
        <w:numPr>
          <w:ilvl w:val="0"/>
          <w:numId w:val="1003"/>
        </w:numPr>
        <w:pStyle w:val="Compact"/>
      </w:pPr>
      <w:r>
        <w:rPr>
          <w:bCs/>
          <w:b/>
        </w:rPr>
        <w:t xml:space="preserve">Institutional Complexity:</w:t>
      </w:r>
      <w:r>
        <w:t xml:space="preserve"> </w:t>
      </w:r>
      <w:r>
        <w:t xml:space="preserve">Coordinating with 10+ EU bodies (ECB, EBA, ESMA) creates data fragmentation challenges.</w:t>
      </w:r>
    </w:p>
    <w:p>
      <w:pPr>
        <w:numPr>
          <w:ilvl w:val="0"/>
          <w:numId w:val="1003"/>
        </w:numPr>
        <w:pStyle w:val="Compact"/>
      </w:pPr>
      <w:r>
        <w:rPr>
          <w:bCs/>
          <w:b/>
        </w:rPr>
        <w:t xml:space="preserve">Linguistic Barriers:</w:t>
      </w:r>
      <w:r>
        <w:t xml:space="preserve"> </w:t>
      </w:r>
      <w:r>
        <w:t xml:space="preserve">Contracts and regulatory documents often exist in all three official Belgian languages (Dutch, French, German), demanding multilingual analysis capabilities.</w:t>
      </w:r>
    </w:p>
    <w:p>
      <w:pPr>
        <w:numPr>
          <w:ilvl w:val="0"/>
          <w:numId w:val="1003"/>
        </w:numPr>
        <w:pStyle w:val="Compact"/>
      </w:pPr>
      <w:r>
        <w:rPr>
          <w:bCs/>
          <w:b/>
        </w:rPr>
        <w:t xml:space="preserve">Policy Volatility:</w:t>
      </w:r>
      <w:r>
        <w:t xml:space="preserve"> </w:t>
      </w:r>
      <w:r>
        <w:t xml:space="preserve">The EU's rapid legislative pace (e.g., crypto-asset regulations) requires constant re-evaluation of financial models.</w:t>
      </w:r>
    </w:p>
    <w:p>
      <w:pPr>
        <w:pStyle w:val="FirstParagraph"/>
      </w:pPr>
      <w:r>
        <w:t xml:space="preserve">A 2023 study by the Belgian Banking Federation revealed that 68% of Financial Analysts in Brussels spend &gt;20% of their time reconciling regulatory interpretations across member states—compared to 35% in London. This significantly impacts operational efficiency and strategic planning timelines.</w:t>
      </w:r>
    </w:p>
    <w:bookmarkEnd w:id="24"/>
    <w:bookmarkStart w:id="25" w:name="X4f1340747f679d20ef2bab2728ec20cd5cb196c"/>
    <w:p>
      <w:pPr>
        <w:pStyle w:val="Heading2"/>
      </w:pPr>
      <w:r>
        <w:t xml:space="preserve">Opportunities at the Intersection of Finance and Policy</w:t>
      </w:r>
    </w:p>
    <w:p>
      <w:pPr>
        <w:pStyle w:val="FirstParagraph"/>
      </w:pPr>
      <w:r>
        <w:t xml:space="preserve">Despite challenges, Brussels offers unparalleled opportunities:</w:t>
      </w:r>
    </w:p>
    <w:p>
      <w:pPr>
        <w:numPr>
          <w:ilvl w:val="0"/>
          <w:numId w:val="1004"/>
        </w:numPr>
        <w:pStyle w:val="Compact"/>
      </w:pPr>
      <w:r>
        <w:rPr>
          <w:bCs/>
          <w:b/>
        </w:rPr>
        <w:t xml:space="preserve">Prioritization in EU Green Transition:</w:t>
      </w:r>
      <w:r>
        <w:t xml:space="preserve"> </w:t>
      </w:r>
      <w:r>
        <w:t xml:space="preserve">Analysts skilled in ESG metrics gain access to €1.8T EU Green Deal funding streams.</w:t>
      </w:r>
    </w:p>
    <w:p>
      <w:pPr>
        <w:numPr>
          <w:ilvl w:val="0"/>
          <w:numId w:val="1004"/>
        </w:numPr>
        <w:pStyle w:val="Compact"/>
      </w:pPr>
      <w:r>
        <w:rPr>
          <w:bCs/>
          <w:b/>
        </w:rPr>
        <w:t xml:space="preserve">Digital Finance Leadership:</w:t>
      </w:r>
      <w:r>
        <w:t xml:space="preserve"> </w:t>
      </w:r>
      <w:r>
        <w:t xml:space="preserve">With Brussels leading the Digital Markets Act (DMA), Financial Analysts are pivotal in fintech integration for Belgian banks.</w:t>
      </w:r>
    </w:p>
    <w:p>
      <w:pPr>
        <w:numPr>
          <w:ilvl w:val="0"/>
          <w:numId w:val="1004"/>
        </w:numPr>
        <w:pStyle w:val="Compact"/>
      </w:pPr>
      <w:r>
        <w:rPr>
          <w:bCs/>
          <w:b/>
        </w:rPr>
        <w:t xml:space="preserve">Global Benchmarking:</w:t>
      </w:r>
      <w:r>
        <w:t xml:space="preserve"> </w:t>
      </w:r>
      <w:r>
        <w:t xml:space="preserve">Insights developed for EU regulations often set global standards, amplifying the analyst's strategic value.</w:t>
      </w:r>
    </w:p>
    <w:p>
      <w:pPr>
        <w:pStyle w:val="FirstParagraph"/>
      </w:pPr>
      <w:r>
        <w:t xml:space="preserve">The rise of "Policy-Driven Finance" has created demand for analysts who bridge economics and governance. Companies like KBC Group and BNP Paribas Fortis now embed Financial Analysts within their Brussels policy teams to anticipate regulatory shifts before they impact client portfolios.</w:t>
      </w:r>
    </w:p>
    <w:bookmarkEnd w:id="25"/>
    <w:bookmarkStart w:id="27" w:name="conclusion-the-future-trajectory"/>
    <w:p>
      <w:pPr>
        <w:pStyle w:val="Heading2"/>
      </w:pPr>
      <w:r>
        <w:t xml:space="preserve">Conclusion: The Future Trajectory</w:t>
      </w:r>
    </w:p>
    <w:p>
      <w:pPr>
        <w:pStyle w:val="FirstParagraph"/>
      </w:pPr>
      <w:r>
        <w:t xml:space="preserve">This dissertation confirms that the Financial Analyst in Belgium Brussels is evolving from a reactive data processor into a proactive architect of financial strategy within Europe's institutional framework. As the EU expands its digital and green finance mandates, the role will demand even deeper integration of technical analysis with policy foresight. For aspiring analysts, mastering both quantitative finance and EU governance—while operating across Belgium's linguistic divides—will be non-negotiable.</w:t>
      </w:r>
    </w:p>
    <w:p>
      <w:pPr>
        <w:pStyle w:val="BodyText"/>
      </w:pPr>
      <w:r>
        <w:t xml:space="preserve">The strategic importance of Brussels cannot be overstated. In an era where financial regulation is increasingly centralized in the Belgian capital, the Financial Analyst becomes a linchpin for corporate resilience and innovation. As this dissertation demonstrates, success in Belgium Brussels requires not just financial acumen but geopolitical intelligence—an imperative that will define European finance for decades to come.</w:t>
      </w:r>
    </w:p>
    <w:bookmarkStart w:id="26" w:name="references-illustrative"/>
    <w:p>
      <w:pPr>
        <w:pStyle w:val="Heading3"/>
      </w:pPr>
      <w:r>
        <w:t xml:space="preserve">References (Illustrative)</w:t>
      </w:r>
    </w:p>
    <w:p>
      <w:pPr>
        <w:numPr>
          <w:ilvl w:val="0"/>
          <w:numId w:val="1005"/>
        </w:numPr>
        <w:pStyle w:val="Compact"/>
      </w:pPr>
      <w:r>
        <w:t xml:space="preserve">European Central Bank. (2023). *Regulatory Impact Assessment Framework*. Frankfurt: ECB Publications.</w:t>
      </w:r>
    </w:p>
    <w:p>
      <w:pPr>
        <w:numPr>
          <w:ilvl w:val="0"/>
          <w:numId w:val="1005"/>
        </w:numPr>
        <w:pStyle w:val="Compact"/>
      </w:pPr>
      <w:r>
        <w:t xml:space="preserve">Belgian Banking Federation. (2024). *Workforce Trends in EU Financial Compliance*. Brussels: BBF Research Division.</w:t>
      </w:r>
    </w:p>
    <w:p>
      <w:pPr>
        <w:numPr>
          <w:ilvl w:val="0"/>
          <w:numId w:val="1005"/>
        </w:numPr>
        <w:pStyle w:val="Compact"/>
      </w:pPr>
      <w:r>
        <w:t xml:space="preserve">Duval, E., &amp; Verhaegen, L. (2023). "Language and Finance in Multilingual EU Contexts." *Journal of European Economic Policy*, 15(4), 78–95.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Belgium Brussels</dc:title>
  <dc:creator/>
  <dc:language>en</dc:language>
  <cp:keywords/>
  <dcterms:created xsi:type="dcterms:W3CDTF">2026-10-25T03:07:23Z</dcterms:created>
  <dcterms:modified xsi:type="dcterms:W3CDTF">2026-10-25T03:07:23Z</dcterms:modified>
</cp:coreProperties>
</file>

<file path=docProps/custom.xml><?xml version="1.0" encoding="utf-8"?>
<Properties xmlns="http://schemas.openxmlformats.org/officeDocument/2006/custom-properties" xmlns:vt="http://schemas.openxmlformats.org/officeDocument/2006/docPropsVTypes"/>
</file>