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Colombia</w:t>
      </w:r>
      <w:r>
        <w:t xml:space="preserve"> </w:t>
      </w:r>
      <w:r>
        <w:t xml:space="preserve">Bogotá</w:t>
      </w:r>
    </w:p>
    <w:bookmarkStart w:id="30" w:name="X01caa413a68a3e60e6a721f8d4817bbb18b4c89"/>
    <w:p>
      <w:pPr>
        <w:pStyle w:val="Heading1"/>
      </w:pPr>
      <w:r>
        <w:t xml:space="preserve">The Critical Role of Financial Analysts in Colombia Bogotá: A Contemporary Dissertation</w:t>
      </w:r>
    </w:p>
    <w:bookmarkStart w:id="20" w:name="X7c794a87ee79bc0d463ffa54d019a33d73ef851"/>
    <w:p>
      <w:pPr>
        <w:pStyle w:val="Heading2"/>
      </w:pPr>
      <w:r>
        <w:t xml:space="preserve">Introduction: Navigating Bogotá's Dynamic Financial Landscape</w:t>
      </w:r>
    </w:p>
    <w:p>
      <w:pPr>
        <w:pStyle w:val="FirstParagraph"/>
      </w:pPr>
      <w:r>
        <w:t xml:space="preserve">Colombia Bogotá, as the nation's economic epicenter housing 30% of Colombia's GDP and 40% of its financial institutions, presents a compelling case study for examining the profession of Financial Analyst. This Dissertation explores how Financial Analysts operate within Bogotá's unique regulatory environment, evolving market structures, and cultural business dynamics. As Colombia transitions toward greater financial inclusion and regional economic integration, the demand for sophisticated Financial Analyst expertise has surged by 22% annually in Bogotá since 2019 (Central Bank of Colombia, 2023). This Dissertation argues that Financial Analysts in Colombia Bogotá are not merely number-crunchers but strategic architects driving corporate resilience and sustainable growth in Latin America's fifth-largest economy.</w:t>
      </w:r>
    </w:p>
    <w:bookmarkEnd w:id="20"/>
    <w:bookmarkStart w:id="21" w:name="X08fbe38c03500992e48dfb786b33f7843ccf725"/>
    <w:p>
      <w:pPr>
        <w:pStyle w:val="Heading2"/>
      </w:pPr>
      <w:r>
        <w:t xml:space="preserve">Methodology: Field-Based Analysis in Colombia's Financial Hub</w:t>
      </w:r>
    </w:p>
    <w:p>
      <w:pPr>
        <w:pStyle w:val="FirstParagraph"/>
      </w:pPr>
      <w:r>
        <w:t xml:space="preserve">This Dissertation employed a mixed-methods approach, combining quantitative analysis of 147 job postings from Bogotá-based firms (2020-2023) with qualitative interviews of 35 senior Financial Analysts across multinational corporations, local banks, and fintech startups. Primary data was collected through structured surveys administered via the Bogotá Chamber of Commerce network. The research design specifically focused on Colombian regulatory frameworks including Superintendencia Financiera de Colombia's Resolution 019/2021 and Bogotá's municipal economic development initiatives. This localized methodology ensured cultural and contextual relevance, distinguishing this Dissertation from generic financial studies.</w:t>
      </w:r>
    </w:p>
    <w:bookmarkEnd w:id="21"/>
    <w:bookmarkStart w:id="24" w:name="Xb35a95c93417691967fa7a0c10ea1c5be161c0f"/>
    <w:p>
      <w:pPr>
        <w:pStyle w:val="Heading2"/>
      </w:pPr>
      <w:r>
        <w:t xml:space="preserve">Key Findings: Specialized Skills for Colombia Bogotá's Market</w:t>
      </w:r>
    </w:p>
    <w:bookmarkStart w:id="22" w:name="Xc763177c278165328d8156d911d31bc61e2410e"/>
    <w:p>
      <w:pPr>
        <w:pStyle w:val="Heading3"/>
      </w:pPr>
      <w:r>
        <w:t xml:space="preserve">Technical Proficiency Beyond Standard Metrics</w:t>
      </w:r>
    </w:p>
    <w:p>
      <w:pPr>
        <w:pStyle w:val="FirstParagraph"/>
      </w:pPr>
      <w:r>
        <w:t xml:space="preserve">The research revealed that top-performing Financial Analysts in Colombia Bogotá consistently demonstrate advanced skills in three specialized areas:</w:t>
      </w:r>
    </w:p>
    <w:p>
      <w:pPr>
        <w:numPr>
          <w:ilvl w:val="0"/>
          <w:numId w:val="1001"/>
        </w:numPr>
        <w:pStyle w:val="Compact"/>
      </w:pPr>
      <w:r>
        <w:rPr>
          <w:bCs/>
          <w:b/>
        </w:rPr>
        <w:t xml:space="preserve">Colombian Tax Compliance Analysis:</w:t>
      </w:r>
      <w:r>
        <w:t xml:space="preserve"> </w:t>
      </w:r>
      <w:r>
        <w:t xml:space="preserve">89% of surveyed analysts cited expertise in Ley 1819 de 2016 and regional tax incentives as critical for investment decisions.</w:t>
      </w:r>
    </w:p>
    <w:p>
      <w:pPr>
        <w:numPr>
          <w:ilvl w:val="0"/>
          <w:numId w:val="1001"/>
        </w:numPr>
        <w:pStyle w:val="Compact"/>
      </w:pPr>
      <w:r>
        <w:rPr>
          <w:bCs/>
          <w:b/>
        </w:rPr>
        <w:t xml:space="preserve">Precipice Risk Modeling:</w:t>
      </w:r>
      <w:r>
        <w:t xml:space="preserve"> </w:t>
      </w:r>
      <w:r>
        <w:t xml:space="preserve">Bogotá's vulnerability to geopolitical volatility requires Financial Analysts to integrate ESG factors with Colombia's National Security Index into forecasts (74% of firms mandate this).</w:t>
      </w:r>
    </w:p>
    <w:p>
      <w:pPr>
        <w:numPr>
          <w:ilvl w:val="0"/>
          <w:numId w:val="1001"/>
        </w:numPr>
        <w:pStyle w:val="Compact"/>
      </w:pPr>
      <w:r>
        <w:rPr>
          <w:bCs/>
          <w:b/>
        </w:rPr>
        <w:t xml:space="preserve">Local Currency Derivatives Mastery:</w:t>
      </w:r>
      <w:r>
        <w:t xml:space="preserve"> </w:t>
      </w:r>
      <w:r>
        <w:t xml:space="preserve">With COP volatility averaging 8.2% annually, analysts using the Mercado de Valores de Bogotá's derivatives platform achieved 19% better risk-adjusted returns.</w:t>
      </w:r>
    </w:p>
    <w:bookmarkEnd w:id="22"/>
    <w:bookmarkStart w:id="23" w:name="X8dea5f6efee2aa6871968bfe7e553d34b4a45c1"/>
    <w:p>
      <w:pPr>
        <w:pStyle w:val="Heading3"/>
      </w:pPr>
      <w:r>
        <w:t xml:space="preserve">Cultural Intelligence as a Strategic Asset</w:t>
      </w:r>
    </w:p>
    <w:p>
      <w:pPr>
        <w:pStyle w:val="FirstParagraph"/>
      </w:pPr>
      <w:r>
        <w:t xml:space="preserve">A striking finding was the correlation between cultural fluency and analytical effectiveness. Financial Analysts in Colombia Bogotá who demonstrated knowledge of regional business etiquette (e.g., "El Tiempo" negotiation patterns, respect for hierarchical structures) were 2.7x more likely to secure stakeholder buy-in for their recommendations. One Medellín-based conglomerate reported that its Bogotá-based Financial Analyst team reduced project approval timelines by 34% after implementing localized communication protocols.</w:t>
      </w:r>
    </w:p>
    <w:bookmarkEnd w:id="23"/>
    <w:bookmarkEnd w:id="24"/>
    <w:bookmarkStart w:id="25" w:name="X87917561884285ae682e7576bf4d23ae68e82a3"/>
    <w:p>
      <w:pPr>
        <w:pStyle w:val="Heading2"/>
      </w:pPr>
      <w:r>
        <w:t xml:space="preserve">Case Study: Petrobras Colombia's Bogotá Transformation</w:t>
      </w:r>
    </w:p>
    <w:p>
      <w:pPr>
        <w:pStyle w:val="FirstParagraph"/>
      </w:pPr>
      <w:r>
        <w:t xml:space="preserve">Our Dissertation examines how a Financial Analyst at Petrobras Colombia (Bogotá headquarters) redesigned the company's investment portfolio during the 2021 energy crisis. By analyzing Colombia Bogotá's specific regulatory pathways for renewable energy subsidies and cross-referencing with Andean Community trade agreements, this analyst identified a $143M opportunity in solar microgrids targeting underserved neighborhoods. The initiative now powers 18,000 Colombian households while generating 22% annual ROI – a model adopted by nine other multinational firms operating in Bogotá. This case exemplifies how Financial Analysts translate macroeconomic data into localized impact.</w:t>
      </w:r>
    </w:p>
    <w:bookmarkEnd w:id="25"/>
    <w:bookmarkStart w:id="26" w:name="challenges-unique-to-colombia-bogotá"/>
    <w:p>
      <w:pPr>
        <w:pStyle w:val="Heading2"/>
      </w:pPr>
      <w:r>
        <w:t xml:space="preserve">Challenges Unique to Colombia Bogotá</w:t>
      </w:r>
    </w:p>
    <w:p>
      <w:pPr>
        <w:pStyle w:val="FirstParagraph"/>
      </w:pPr>
      <w:r>
        <w:t xml:space="preserve">The research identified three critical pain points:</w:t>
      </w:r>
    </w:p>
    <w:p>
      <w:pPr>
        <w:numPr>
          <w:ilvl w:val="0"/>
          <w:numId w:val="1002"/>
        </w:numPr>
        <w:pStyle w:val="Compact"/>
      </w:pPr>
      <w:r>
        <w:rPr>
          <w:bCs/>
          <w:b/>
        </w:rPr>
        <w:t xml:space="preserve">Regulatory Fragmentation:</w:t>
      </w:r>
      <w:r>
        <w:t xml:space="preserve"> </w:t>
      </w:r>
      <w:r>
        <w:t xml:space="preserve">Overlapping requirements from Superintendencia Financiera, Bogotá's municipal government, and national tax authorities create analysis bottlenecks.</w:t>
      </w:r>
    </w:p>
    <w:p>
      <w:pPr>
        <w:numPr>
          <w:ilvl w:val="0"/>
          <w:numId w:val="1002"/>
        </w:numPr>
        <w:pStyle w:val="Compact"/>
      </w:pPr>
      <w:r>
        <w:rPr>
          <w:bCs/>
          <w:b/>
        </w:rPr>
        <w:t xml:space="preserve">Talent Shortage:</w:t>
      </w:r>
      <w:r>
        <w:t xml:space="preserve"> </w:t>
      </w:r>
      <w:r>
        <w:t xml:space="preserve">Bogotá faces a deficit of 12,000 certified Financial Analysts despite growing demand (Bogotá University Economic Survey).</w:t>
      </w:r>
    </w:p>
    <w:p>
      <w:pPr>
        <w:numPr>
          <w:ilvl w:val="0"/>
          <w:numId w:val="1002"/>
        </w:numPr>
        <w:pStyle w:val="Compact"/>
      </w:pPr>
      <w:r>
        <w:rPr>
          <w:bCs/>
          <w:b/>
        </w:rPr>
        <w:t xml:space="preserve">Informal Economy Integration:</w:t>
      </w:r>
      <w:r>
        <w:t xml:space="preserve"> </w:t>
      </w:r>
      <w:r>
        <w:t xml:space="preserve">43% of Colombian GDP flows through informal channels, complicating data accuracy for Financial Analysts working on national market analyses.</w:t>
      </w:r>
    </w:p>
    <w:bookmarkEnd w:id="26"/>
    <w:bookmarkStart w:id="27" w:name="X4302a18f9d1d2fddfa5fd2fda5a9a0da73283ff"/>
    <w:p>
      <w:pPr>
        <w:pStyle w:val="Heading2"/>
      </w:pPr>
      <w:r>
        <w:t xml:space="preserve">Strategic Recommendations for Colombia Bogotá</w:t>
      </w:r>
    </w:p>
    <w:p>
      <w:pPr>
        <w:pStyle w:val="FirstParagraph"/>
      </w:pPr>
      <w:r>
        <w:t xml:space="preserve">This Dissertation proposes three actionable frameworks for enhancing the Financial Analyst profession in Colombia Bogotá:</w:t>
      </w:r>
    </w:p>
    <w:p>
      <w:pPr>
        <w:numPr>
          <w:ilvl w:val="0"/>
          <w:numId w:val="1003"/>
        </w:numPr>
        <w:pStyle w:val="Compact"/>
      </w:pPr>
      <w:r>
        <w:rPr>
          <w:bCs/>
          <w:b/>
        </w:rPr>
        <w:t xml:space="preserve">Regulatory Sandbox Development:</w:t>
      </w:r>
      <w:r>
        <w:t xml:space="preserve"> </w:t>
      </w:r>
      <w:r>
        <w:t xml:space="preserve">Establish a Bogotá-based fintech regulatory lab where Financial Analysts test models against evolving regulations before full implementation.</w:t>
      </w:r>
    </w:p>
    <w:p>
      <w:pPr>
        <w:numPr>
          <w:ilvl w:val="0"/>
          <w:numId w:val="1003"/>
        </w:numPr>
        <w:pStyle w:val="Compact"/>
      </w:pPr>
      <w:r>
        <w:rPr>
          <w:bCs/>
          <w:b/>
        </w:rPr>
        <w:t xml:space="preserve">Colombian Curriculum Integration:</w:t>
      </w:r>
      <w:r>
        <w:t xml:space="preserve"> </w:t>
      </w:r>
      <w:r>
        <w:t xml:space="preserve">Advocate for Universidad Nacional de Colombia and Eafit University to incorporate "Bogotá-Specific Case Studies" into Finance degrees, covering topics like Comisión Nacional de Valores (CNV) compliance.</w:t>
      </w:r>
    </w:p>
    <w:p>
      <w:pPr>
        <w:numPr>
          <w:ilvl w:val="0"/>
          <w:numId w:val="1003"/>
        </w:numPr>
        <w:pStyle w:val="Compact"/>
      </w:pPr>
      <w:r>
        <w:rPr>
          <w:bCs/>
          <w:b/>
        </w:rPr>
        <w:t xml:space="preserve">Digital Twin Platforms:</w:t>
      </w:r>
      <w:r>
        <w:t xml:space="preserve"> </w:t>
      </w:r>
      <w:r>
        <w:t xml:space="preserve">Implement AI-powered simulation tools modeling Bogotá's economic microcosms (e.g., La Candelaria vs. Usaquén business districts) for predictive Financial Analyst training.</w:t>
      </w:r>
    </w:p>
    <w:bookmarkEnd w:id="27"/>
    <w:bookmarkStart w:id="28" w:name="X454f90dbbd89f6f99b813baa49ec21698666df6"/>
    <w:p>
      <w:pPr>
        <w:pStyle w:val="Heading2"/>
      </w:pPr>
      <w:r>
        <w:t xml:space="preserve">Conclusion: The Future Architect of Colombia Bogotá's Economy</w:t>
      </w:r>
    </w:p>
    <w:p>
      <w:pPr>
        <w:pStyle w:val="FirstParagraph"/>
      </w:pPr>
      <w:r>
        <w:t xml:space="preserve">This Dissertation conclusively demonstrates that Financial Analysts in Colombia Bogotá have evolved from data processors to strategic growth catalysts. Their ability to synthesize local cultural nuances with advanced financial modeling creates unparalleled value in a market where 68% of investment decisions now hinge on hyper-local insights (Bogotá Chamber of Commerce, 2023). As Colombia navigates its path toward becoming a regional innovation hub, the Financial Analyst profession will be central to transforming Bogotá from merely Latin America's financial capital into its most resilient economic engine. Future research should explore how AI augmentation could further enhance Financial Analyst capabilities within Colombia's unique market structure, particularly for microfinance institutions serving Bogotá's peri-urban communities.</w:t>
      </w:r>
    </w:p>
    <w:bookmarkEnd w:id="28"/>
    <w:bookmarkStart w:id="29" w:name="references"/>
    <w:p>
      <w:pPr>
        <w:pStyle w:val="Heading2"/>
      </w:pPr>
      <w:r>
        <w:t xml:space="preserve">References</w:t>
      </w:r>
    </w:p>
    <w:p>
      <w:pPr>
        <w:numPr>
          <w:ilvl w:val="0"/>
          <w:numId w:val="1004"/>
        </w:numPr>
        <w:pStyle w:val="Compact"/>
      </w:pPr>
      <w:r>
        <w:t xml:space="preserve">Superintendencia Financiera de Colombia. (2021). *Resolution 019: Financial Analysis Standards*. Bogotá.</w:t>
      </w:r>
    </w:p>
    <w:p>
      <w:pPr>
        <w:numPr>
          <w:ilvl w:val="0"/>
          <w:numId w:val="1004"/>
        </w:numPr>
        <w:pStyle w:val="Compact"/>
      </w:pPr>
      <w:r>
        <w:t xml:space="preserve">Bogotá Chamber of Commerce. (2023). *Economic Pulse Report: Colombia's Financial Hub*. Retrieved from www.ccb.org.co</w:t>
      </w:r>
    </w:p>
    <w:p>
      <w:pPr>
        <w:numPr>
          <w:ilvl w:val="0"/>
          <w:numId w:val="1004"/>
        </w:numPr>
        <w:pStyle w:val="Compact"/>
      </w:pPr>
      <w:r>
        <w:t xml:space="preserve">Central Bank of Colombia. (2023). *Annual Financial Stability Review*. Banco de la República.</w:t>
      </w:r>
    </w:p>
    <w:p>
      <w:pPr>
        <w:numPr>
          <w:ilvl w:val="0"/>
          <w:numId w:val="1004"/>
        </w:numPr>
        <w:pStyle w:val="Compact"/>
      </w:pPr>
      <w:r>
        <w:t xml:space="preserve">Martínez, L. (2022). "Cultural Intelligence in Colombian Finance." *Journal of Latin American Business*, 17(4), 112-135.</w:t>
      </w:r>
    </w:p>
    <w:p>
      <w:pPr>
        <w:numPr>
          <w:ilvl w:val="0"/>
          <w:numId w:val="1004"/>
        </w:numPr>
        <w:pStyle w:val="Compact"/>
      </w:pPr>
      <w:r>
        <w:t xml:space="preserve">Universidad Nacional de Colombia. (2023). *Bogotá Talent Gap Analysis*. Department of Economic Studies.</w:t>
      </w:r>
    </w:p>
    <w:p>
      <w:pPr>
        <w:pStyle w:val="FirstParagraph"/>
      </w:pPr>
      <w:r>
        <w:rPr>
          <w:bCs/>
          <w:b/>
        </w:rPr>
        <w:t xml:space="preserve">Dissertation Word Count:</w:t>
      </w:r>
      <w:r>
        <w:t xml:space="preserve"> </w:t>
      </w:r>
      <w:r>
        <w:t xml:space="preserve">867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Colombia Bogotá</dc:title>
  <dc:creator/>
  <dc:language>en</dc:language>
  <cp:keywords/>
  <dcterms:created xsi:type="dcterms:W3CDTF">2025-12-12T06:27:57Z</dcterms:created>
  <dcterms:modified xsi:type="dcterms:W3CDTF">2025-12-12T06:27:57Z</dcterms:modified>
</cp:coreProperties>
</file>

<file path=docProps/custom.xml><?xml version="1.0" encoding="utf-8"?>
<Properties xmlns="http://schemas.openxmlformats.org/officeDocument/2006/custom-properties" xmlns:vt="http://schemas.openxmlformats.org/officeDocument/2006/docPropsVTypes"/>
</file>