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Medellín's</w:t>
      </w:r>
      <w:r>
        <w:t xml:space="preserve"> </w:t>
      </w:r>
      <w:r>
        <w:t xml:space="preserve">Evolving</w:t>
      </w:r>
      <w:r>
        <w:t xml:space="preserve"> </w:t>
      </w:r>
      <w:r>
        <w:t xml:space="preserve">Economic</w:t>
      </w:r>
      <w:r>
        <w:t xml:space="preserve"> </w:t>
      </w:r>
      <w:r>
        <w:t xml:space="preserve">Landscape</w:t>
      </w:r>
    </w:p>
    <w:bookmarkStart w:id="25" w:name="Xa35367179e43f94902ec20395b4994babfda6dc"/>
    <w:p>
      <w:pPr>
        <w:pStyle w:val="Heading1"/>
      </w:pPr>
      <w:r>
        <w:t xml:space="preserve">The Critical Role of the Financial Analyst in Colombia Medellín: A Contemporary Dissertation Analysis</w:t>
      </w:r>
    </w:p>
    <w:p>
      <w:pPr>
        <w:pStyle w:val="FirstParagraph"/>
      </w:pPr>
      <w:r>
        <w:t xml:space="preserve">As Colombia continues its trajectory toward economic modernization, the city of Medellín stands as a vibrant epicenter of financial innovation and professional development. Within this dynamic context, the profession of the</w:t>
      </w:r>
      <w:r>
        <w:t xml:space="preserve"> </w:t>
      </w:r>
      <w:r>
        <w:rPr>
          <w:iCs/>
          <w:i/>
        </w:rPr>
        <w:t xml:space="preserve">Financial Analyst</w:t>
      </w:r>
      <w:r>
        <w:t xml:space="preserve"> </w:t>
      </w:r>
      <w:r>
        <w:t xml:space="preserve">has transitioned from a niche support function to a strategic cornerstone for businesses navigating Colombia Medellín’s complex market environment. This dissertation examines the evolving responsibilities, challenges, and strategic importance of the Financial Analyst in Medellín’s unique economic ecosystem, emphasizing how this role directly impacts sustainable growth across sectors including technology, manufacturing, and emerging green industries.</w:t>
      </w:r>
    </w:p>
    <w:bookmarkStart w:id="20" w:name="X09233d091061d3a4f3987bd8f7b9039ac4e97bf"/>
    <w:p>
      <w:pPr>
        <w:pStyle w:val="Heading2"/>
      </w:pPr>
      <w:r>
        <w:t xml:space="preserve">The Strategic Imperative of the Financial Analyst in Colombia Medellín</w:t>
      </w:r>
    </w:p>
    <w:p>
      <w:pPr>
        <w:pStyle w:val="FirstParagraph"/>
      </w:pPr>
      <w:r>
        <w:t xml:space="preserve">Medellín’s transformation from a city historically associated with industrial activity to a recognized global hub for innovation (often termed "the most innovative city in Latin America" by the World Economic Forum) has dramatically elevated the demand for sophisticated financial intelligence. The</w:t>
      </w:r>
      <w:r>
        <w:t xml:space="preserve"> </w:t>
      </w:r>
      <w:r>
        <w:rPr>
          <w:iCs/>
          <w:i/>
        </w:rPr>
        <w:t xml:space="preserve">Financial Analyst</w:t>
      </w:r>
      <w:r>
        <w:t xml:space="preserve"> </w:t>
      </w:r>
      <w:r>
        <w:t xml:space="preserve">in Colombia Medellín no longer merely compiles historical data; they are proactive strategists who interpret macroeconomic indicators—such as Colombia’s 2023 inflation rate of 8.4%, volatile commodity prices, and regulatory shifts under the Superintendencia Financiera de Colombia—to forecast market movements specific to the Aburrá Valley region. For instance, an analyst working with Medellín-based tech startups must assess not only revenue models but also local talent acquisition costs and regional infrastructure investments like the Metrocable expansion.</w:t>
      </w:r>
    </w:p>
    <w:bookmarkEnd w:id="20"/>
    <w:bookmarkStart w:id="21" w:name="X6548d3384efd0410fec08794515af7af33752e1"/>
    <w:p>
      <w:pPr>
        <w:pStyle w:val="Heading2"/>
      </w:pPr>
      <w:r>
        <w:t xml:space="preserve">Local Context: How Colombia Medellín Shapes Financial Analysis Practice</w:t>
      </w:r>
    </w:p>
    <w:p>
      <w:pPr>
        <w:pStyle w:val="FirstParagraph"/>
      </w:pPr>
      <w:r>
        <w:t xml:space="preserve">The unique socio-economic fabric of Colombia Medellín fundamentally shapes the Financial Analyst’s daily work. Unlike Bogotá, where multinational headquarters dominate, Medellín’s economy is driven by a resilient network of SMEs (over 70% of businesses) and rapidly scaling local enterprises like Rappi's regional operations or EPM Group's sustainability projects. This necessitates tailored analytical approaches: assessing credit risk for a family-owned textile firm in the industrial zone of San José, analyzing export viability for coffee producers in the Antioquian highlands, or evaluating ROI on municipal social investment programs. The</w:t>
      </w:r>
      <w:r>
        <w:t xml:space="preserve"> </w:t>
      </w:r>
      <w:r>
        <w:rPr>
          <w:iCs/>
          <w:i/>
        </w:rPr>
        <w:t xml:space="preserve">Dissertation</w:t>
      </w:r>
      <w:r>
        <w:t xml:space="preserve"> </w:t>
      </w:r>
      <w:r>
        <w:t xml:space="preserve">contextualizes these realities by highlighting how Medellín’s "social innovation" model—where financial decisions intersect with community development (e.g., projects like Comuna 13 revitalization)—requires analysts to integrate ESG (Environmental, Social, Governance) metrics into traditional financial models. This is not merely an ethical consideration but a strategic necessity for securing investment in Medellín.</w:t>
      </w:r>
    </w:p>
    <w:bookmarkEnd w:id="21"/>
    <w:bookmarkStart w:id="22" w:name="X8c46deb894ea48e33bcbfa431765eddd2c56a72"/>
    <w:p>
      <w:pPr>
        <w:pStyle w:val="Heading2"/>
      </w:pPr>
      <w:r>
        <w:t xml:space="preserve">Challenges Faced by the Financial Analyst in Colombia Medellín</w:t>
      </w:r>
    </w:p>
    <w:p>
      <w:pPr>
        <w:pStyle w:val="FirstParagraph"/>
      </w:pPr>
      <w:r>
        <w:t xml:space="preserve">Despite opportunities, the Financial Analyst in Colombia Medellín confronts distinct challenges. The regulatory landscape, while improving under laws like Law 1753 of 2015 (which modernized corporate governance), remains complex for local firms. A key challenge is navigating Colombia’s dual taxation system and recent tax reforms that impact SME profitability—a critical area where the Financial Analyst must provide actionable insights to prevent operational disruption. Additionally, Medellín’s rapid urbanization creates data gaps; real-time financial metrics for emerging sectors like fintech (e.g., startups in the "Medellín Tech Park") are often scarce compared to established markets. Furthermore, language nuances matter: while Spanish is dominant, many multinational partners require bilingual reports that translate technical financial jargon into clear local business terms. This demands not just analytical skill but cultural fluency—a requirement emphasized in Medellín’s leading institutions like EAFIT University’s finance programs.</w:t>
      </w:r>
    </w:p>
    <w:bookmarkEnd w:id="22"/>
    <w:bookmarkStart w:id="23" w:name="X6eb5a19cf5249b0cb220e9ed83cd7351ae0f085"/>
    <w:p>
      <w:pPr>
        <w:pStyle w:val="Heading2"/>
      </w:pPr>
      <w:r>
        <w:t xml:space="preserve">Future Trajectory and Strategic Recommendations</w:t>
      </w:r>
    </w:p>
    <w:p>
      <w:pPr>
        <w:pStyle w:val="FirstParagraph"/>
      </w:pPr>
      <w:r>
        <w:t xml:space="preserve">The future of the Financial Analyst role in Colombia Medellín is intrinsically linked to digital transformation. As the city advances its Smart City initiatives, integrating AI-driven tools for predictive analytics (e.g., forecasting demand for electric mobility services in Medellín’s new bus corridors) will become standard. This dissertation argues that aspiring analysts must prioritize skills beyond traditional Excel modeling—proficiency in Colombian financial databases like DANE (National Administrative Department of Statistics), understanding of Colombia’s digital currency pilot programs, and familiarity with platforms such as</w:t>
      </w:r>
      <w:r>
        <w:t xml:space="preserve"> </w:t>
      </w:r>
      <w:r>
        <w:rPr>
          <w:iCs/>
          <w:i/>
        </w:rPr>
        <w:t xml:space="preserve">Colombia Segura</w:t>
      </w:r>
      <w:r>
        <w:t xml:space="preserve">, which influences corporate risk assessments.</w:t>
      </w:r>
    </w:p>
    <w:p>
      <w:pPr>
        <w:pStyle w:val="BodyText"/>
      </w:pPr>
      <w:r>
        <w:t xml:space="preserve">Strategic recommendations for stakeholders include: 1) Universities like the University of Antioquia developing specialized Medellín-focused curricula that blend financial theory with local case studies; 2) Corporations investing in internal analyst training on regional regulatory nuances; and 3) Government bodies (e.g., Medellín’s Secretaría de Desarrollo Económico) creating public-private data-sharing platforms to address information asymmetry. Crucially, the Financial Analyst must evolve from a "number-cruncher" to a trusted advisor who aligns financial strategy with Medellín’s broader vision of inclusive growth—a role where Colombia Medellín’s unique identity becomes the compass for decision-making.</w:t>
      </w:r>
    </w:p>
    <w:bookmarkEnd w:id="23"/>
    <w:bookmarkStart w:id="24" w:name="X4098ab898b8d41e1bb0ca4187312ca49b59f011"/>
    <w:p>
      <w:pPr>
        <w:pStyle w:val="Heading2"/>
      </w:pPr>
      <w:r>
        <w:t xml:space="preserve">Conclusion: The Financial Analyst as Catalyst for Medellín's Economic Narrative</w:t>
      </w:r>
    </w:p>
    <w:p>
      <w:pPr>
        <w:pStyle w:val="FirstParagraph"/>
      </w:pPr>
      <w:r>
        <w:t xml:space="preserve">In conclusion, this dissertation affirms that the Financial Analyst is not merely an occupant of a corporate department in Colombia Medellín but a pivotal architect of its economic narrative. As Medellín continues to outpace national GDP growth (averaging 3.8% annually since 2021), the expertise of these professionals becomes increasingly indispensable for translating global trends into actionable local strategy. The role demands a rare synthesis: deep financial acumen, contextual awareness of Colombia’s legal and cultural landscape, and an unwavering focus on Medellín’s ambition to be a model of sustainable urban development. For any business seeking resilience in this thriving Colombian city, the Financial Analyst is not just important—they are indispensable. Their work transforms complex data into the strategic clarity that fuels Medellín’s next chapter as a beacon of economic dynamism in Latin America.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Financial Analyst in Colombia Medellín's Evolving Economic Landscape</dc:title>
  <dc:creator/>
  <dc:language>en</dc:language>
  <cp:keywords/>
  <dcterms:created xsi:type="dcterms:W3CDTF">2026-07-21T16:25:44Z</dcterms:created>
  <dcterms:modified xsi:type="dcterms:W3CDTF">2026-07-21T16:25:44Z</dcterms:modified>
</cp:coreProperties>
</file>

<file path=docProps/custom.xml><?xml version="1.0" encoding="utf-8"?>
<Properties xmlns="http://schemas.openxmlformats.org/officeDocument/2006/custom-properties" xmlns:vt="http://schemas.openxmlformats.org/officeDocument/2006/docPropsVTypes"/>
</file>