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5da30ce2173cfc1911f924fd0489ab761c5a386"/>
    <w:p>
      <w:pPr>
        <w:pStyle w:val="Heading1"/>
      </w:pPr>
      <w:r>
        <w:t xml:space="preserve">Dissertation: The Evolving Role of Financial Analysts in Turkey Istanbul's Dynamic Market</w:t>
      </w:r>
    </w:p>
    <w:bookmarkStart w:id="20" w:name="Xfbc735174e63d20e09edc9e666ae69faaa436c7"/>
    <w:p>
      <w:pPr>
        <w:pStyle w:val="Heading2"/>
      </w:pPr>
      <w:r>
        <w:t xml:space="preserve">Introduction: Contextualizing the Financial Analyst Profession in Istanbul</w:t>
      </w:r>
    </w:p>
    <w:p>
      <w:pPr>
        <w:pStyle w:val="FirstParagraph"/>
      </w:pPr>
      <w:r>
        <w:t xml:space="preserve">The role of the</w:t>
      </w:r>
      <w:r>
        <w:t xml:space="preserve"> </w:t>
      </w:r>
      <w:r>
        <w:rPr>
          <w:bCs/>
          <w:b/>
        </w:rPr>
        <w:t xml:space="preserve">Financial Analyst</w:t>
      </w:r>
      <w:r>
        <w:t xml:space="preserve"> </w:t>
      </w:r>
      <w:r>
        <w:t xml:space="preserve">has undergone profound transformation within Turkey's rapidly evolving economic landscape, particularly in its financial epicenter, Istanbul. This dissertation examines how contemporary Financial Analysts operate within the unique regulatory, cultural, and market dynamics of</w:t>
      </w:r>
      <w:r>
        <w:t xml:space="preserve"> </w:t>
      </w:r>
      <w:r>
        <w:rPr>
          <w:iCs/>
          <w:i/>
        </w:rPr>
        <w:t xml:space="preserve">Turkey Istanbul</w:t>
      </w:r>
      <w:r>
        <w:t xml:space="preserve">, emphasizing their critical function in navigating volatility and driving informed investment decisions. As the Capital Markets Board (CMB) of Turkey reinforces market integrity and international integration accelerates through initiatives like the Borsa Istanbul (BIST), Financial Analysts have become indispensable conduits between complex financial data, strategic business planning, and global investor sentiment specific to this pivotal emerging market hub.</w:t>
      </w:r>
    </w:p>
    <w:bookmarkEnd w:id="20"/>
    <w:bookmarkStart w:id="21" w:name="X7e3dca6e1704f91f94ffa192d3f642a412cb321"/>
    <w:p>
      <w:pPr>
        <w:pStyle w:val="Heading2"/>
      </w:pPr>
      <w:r>
        <w:t xml:space="preserve">The Strategic Imperative of Financial Analysts in Istanbul's Market Ecosystem</w:t>
      </w:r>
    </w:p>
    <w:p>
      <w:pPr>
        <w:pStyle w:val="FirstParagraph"/>
      </w:pPr>
      <w:r>
        <w:t xml:space="preserve">In</w:t>
      </w:r>
      <w:r>
        <w:t xml:space="preserve"> </w:t>
      </w:r>
      <w:r>
        <w:rPr>
          <w:iCs/>
          <w:i/>
        </w:rPr>
        <w:t xml:space="preserve">Turkey Istanbul</w:t>
      </w:r>
      <w:r>
        <w:t xml:space="preserve">, the demand for specialized Financial Analysts has surged exponentially. The Borsa Istanbul, home to the BIST 100 index representing Turkey's leading companies, processes daily volumes exceeding $1 billion, creating a complex environment requiring sophisticated analysis. Financial Analysts are no longer merely number crunchers; they are strategic advisors whose insights directly influence corporate strategy and investor confidence. For instance, analysts at major institutions like Garanti BBVA or Finansbank in Istanbul must now integrate multifaceted factors such as the Central Bank's monetary policy shifts, currency volatility (TRY/USD), geopolitical tensions in the Eastern Mediterranean, and inflation trends into their forecasts – a necessity uniquely acute to Turkey's context.</w:t>
      </w:r>
    </w:p>
    <w:bookmarkEnd w:id="21"/>
    <w:bookmarkStart w:id="23" w:name="X133989583f8bda899ae093dcc1c4f412a7d8f5d"/>
    <w:p>
      <w:pPr>
        <w:pStyle w:val="Heading2"/>
      </w:pPr>
      <w:r>
        <w:t xml:space="preserve">Market-Specific Challenges and Analytical Nuances in Turkey Istanbul</w:t>
      </w:r>
    </w:p>
    <w:p>
      <w:pPr>
        <w:pStyle w:val="FirstParagraph"/>
      </w:pPr>
      <w:r>
        <w:t xml:space="preserve">The operational environment for a Financial Analyst in Istanbul presents distinct challenges absent in more stable markets. Key among these is the persistent impact of high inflation (exceeding 60% annually in recent years), demanding advanced modeling techniques to project real-term returns. Additionally, navigating the Turkish regulatory framework – governed by CMB regulations like "Market Conduct Rules" and ESG disclosure mandates – requires specialized knowledge beyond standard global finance curricula. A Financial Analyst operating within</w:t>
      </w:r>
      <w:r>
        <w:t xml:space="preserve"> </w:t>
      </w:r>
      <w:r>
        <w:rPr>
          <w:iCs/>
          <w:i/>
        </w:rPr>
        <w:t xml:space="preserve">Turkey Istanbul</w:t>
      </w:r>
      <w:r>
        <w:t xml:space="preserve"> </w:t>
      </w:r>
      <w:r>
        <w:t xml:space="preserve">must possess deep familiarity with local accounting standards (TFRS) and the specific data granularity available through BIST disclosures, often requiring more creative data synthesis than in mature markets.</w:t>
      </w:r>
    </w:p>
    <w:bookmarkStart w:id="22" w:name="X09f474ac9be5bafe592ca86368f80984d5e5059"/>
    <w:p>
      <w:pPr>
        <w:pStyle w:val="Heading3"/>
      </w:pPr>
      <w:r>
        <w:t xml:space="preserve">Table: Key Market Indicators Influencing Financial Analysis in Istanbul (2023-2024)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Average Value (2023)</w:t>
            </w:r>
          </w:p>
        </w:tc>
        <w:tc>
          <w:tcPr/>
          <w:p>
            <w:pPr>
              <w:pStyle w:val="Compact"/>
              <w:jc w:val="left"/>
            </w:pPr>
            <w:r>
              <w:t xml:space="preserve">Impact on Financial Analysts</w:t>
            </w:r>
          </w:p>
        </w:tc>
      </w:tr>
      <w:tr>
        <w:tc>
          <w:tcPr/>
          <w:p>
            <w:pPr>
              <w:pStyle w:val="Compact"/>
              <w:jc w:val="left"/>
            </w:pPr>
            <w:r>
              <w:t xml:space="preserve">Inflation Rate (Y/Y)</w:t>
            </w:r>
          </w:p>
        </w:tc>
        <w:tc>
          <w:tcPr/>
          <w:p>
            <w:pPr>
              <w:pStyle w:val="Compact"/>
              <w:jc w:val="left"/>
            </w:pPr>
            <w:r>
              <w:t xml:space="preserve">61.1%</w:t>
            </w:r>
          </w:p>
        </w:tc>
        <w:tc>
          <w:tcPr/>
          <w:p>
            <w:pPr>
              <w:pStyle w:val="Compact"/>
              <w:jc w:val="left"/>
            </w:pPr>
            <w:r>
              <w:t xml:space="preserve">Necessitates real return adjustments; impacts cost of capital calculations</w:t>
            </w:r>
          </w:p>
        </w:tc>
      </w:tr>
      <w:tr>
        <w:tc>
          <w:tcPr/>
          <w:p>
            <w:pPr>
              <w:pStyle w:val="Compact"/>
              <w:jc w:val="left"/>
            </w:pPr>
            <w:r>
              <w:t xml:space="preserve">BIST 100 Volatility Index (VIX)</w:t>
            </w:r>
          </w:p>
        </w:tc>
        <w:tc>
          <w:tcPr/>
          <w:p>
            <w:pPr>
              <w:pStyle w:val="Compact"/>
              <w:jc w:val="left"/>
            </w:pPr>
            <w:r>
              <w:t xml:space="preserve">42.5%</w:t>
            </w:r>
          </w:p>
        </w:tc>
        <w:tc>
          <w:tcPr/>
          <w:p>
            <w:pPr>
              <w:pStyle w:val="Compact"/>
              <w:jc w:val="left"/>
            </w:pPr>
            <w:r>
              <w:t xml:space="preserve">Requires dynamic risk modeling; influences portfolio allocation strategies</w:t>
            </w:r>
          </w:p>
        </w:tc>
      </w:tr>
      <w:tr>
        <w:tc>
          <w:tcPr/>
          <w:p>
            <w:pPr>
              <w:pStyle w:val="Compact"/>
              <w:jc w:val="left"/>
            </w:pPr>
            <w:r>
              <w:t xml:space="preserve">Daily Average Trading Volume (BIST)</w:t>
            </w:r>
          </w:p>
        </w:tc>
        <w:tc>
          <w:tcPr/>
          <w:p>
            <w:pPr>
              <w:pStyle w:val="Compact"/>
              <w:jc w:val="left"/>
            </w:pPr>
            <w:r>
              <w:t xml:space="preserve">$1.2 Billion USD</w:t>
            </w:r>
          </w:p>
        </w:tc>
        <w:tc>
          <w:tcPr/>
          <w:p>
            <w:pPr>
              <w:pStyle w:val="Compact"/>
              <w:jc w:val="left"/>
            </w:pPr>
            <w:r>
              <w:t xml:space="preserve">Demands real-time data processing capabilities and rapid scenario analysis</w:t>
            </w:r>
          </w:p>
        </w:tc>
      </w:tr>
    </w:tbl>
    <w:bookmarkEnd w:id="22"/>
    <w:bookmarkEnd w:id="23"/>
    <w:bookmarkStart w:id="24" w:name="Xb563b8803be3d497edeae6e71a0e3cdedb5d913"/>
    <w:p>
      <w:pPr>
        <w:pStyle w:val="Heading2"/>
      </w:pPr>
      <w:r>
        <w:t xml:space="preserve">Educational and Skill Requirements: Bridging Global Standards with Local Context</w:t>
      </w:r>
    </w:p>
    <w:p>
      <w:pPr>
        <w:pStyle w:val="FirstParagraph"/>
      </w:pPr>
      <w:r>
        <w:t xml:space="preserve">Modern Financial Analysts in Istanbul must balance globally recognized competencies with hyper-local expertise. While certifications like CFA or FRM remain highly valued, successful practitioners also require fluency in Turkish financial terminology, understanding of the unique corporate governance structures prevalent among large Turkish conglomerates (e.g., Koç Holding, Sabancı), and awareness of cultural nuances in stakeholder communication. A critical element emerging within this</w:t>
      </w:r>
      <w:r>
        <w:t xml:space="preserve"> </w:t>
      </w:r>
      <w:r>
        <w:rPr>
          <w:iCs/>
          <w:i/>
        </w:rPr>
        <w:t xml:space="preserve">Turkey Istanbul</w:t>
      </w:r>
      <w:r>
        <w:t xml:space="preserve"> </w:t>
      </w:r>
      <w:r>
        <w:t xml:space="preserve">context is the increasing demand for proficiency in ESG (Environmental, Social, Governance) analysis – not as a compliance exercise but as a core driver of investment value. The CMB's 2023 ESG disclosure framework has made this expertise non-negotiable for analysts serving institutional clients within Istanbul's financial district.</w:t>
      </w:r>
    </w:p>
    <w:bookmarkEnd w:id="24"/>
    <w:bookmarkStart w:id="25" w:name="X9b95b9070fe45ead6c8345860cad04a41a3afef"/>
    <w:p>
      <w:pPr>
        <w:pStyle w:val="Heading2"/>
      </w:pPr>
      <w:r>
        <w:t xml:space="preserve">Career Trajectory and Economic Contribution</w:t>
      </w:r>
    </w:p>
    <w:p>
      <w:pPr>
        <w:pStyle w:val="FirstParagraph"/>
      </w:pPr>
      <w:r>
        <w:t xml:space="preserve">The career path for a Financial Analyst in Istanbul reflects the market's maturity. Entry-level roles often involve fundamental analysis of listed companies on BIST, while senior positions evolve into strategic advisory roles influencing M&amp;A activity or capital raising strategies for Turkish corporates seeking international partnerships. Notably, Istanbul hosts numerous multinational financial institutions and local asset managers (e.g., IMA, Turkiye Finans), creating diverse career streams. Crucially, the collective output of Financial Analysts in this ecosystem significantly contributes to Turkey's economic stability; their forward-looking assessments help channel capital efficiently into productive sectors like manufacturing and renewable energy – areas prioritized by the Turkish government's industrial strategy.</w:t>
      </w:r>
    </w:p>
    <w:bookmarkEnd w:id="25"/>
    <w:bookmarkStart w:id="26" w:name="X53d9a6cd883475979b692ed1e467d2349f6e1df"/>
    <w:p>
      <w:pPr>
        <w:pStyle w:val="Heading2"/>
      </w:pPr>
      <w:r>
        <w:t xml:space="preserve">Future Outlook: Adaptation and Innovation in Istanbul</w:t>
      </w:r>
    </w:p>
    <w:p>
      <w:pPr>
        <w:pStyle w:val="FirstParagraph"/>
      </w:pPr>
      <w:r>
        <w:t xml:space="preserve">The future of the Financial Analyst role in</w:t>
      </w:r>
      <w:r>
        <w:t xml:space="preserve"> </w:t>
      </w:r>
      <w:r>
        <w:rPr>
          <w:iCs/>
          <w:i/>
        </w:rPr>
        <w:t xml:space="preserve">Turkey Istanbul</w:t>
      </w:r>
      <w:r>
        <w:t xml:space="preserve"> </w:t>
      </w:r>
      <w:r>
        <w:t xml:space="preserve">hinges on continuous adaptation. Key trends include: (1) The accelerated adoption of AI-driven predictive analytics tools to forecast currency movements and market sentiment; (2) Deeper integration of climate risk modeling into valuation frameworks, responding to both CMB mandates and international investor expectations; (3) Increased focus on fintech sector analysis as Istanbul emerges as a regional hub for digital finance innovation. A successful Financial Analyst in this environment must therefore embrace lifelong learning – mastering new technologies while maintaining an unwavering grasp of Turkey's unique economic narrative. The ability to translate complex global market shifts into actionable local insights remains the ultimate differentiator for Financial Analysts operating within the competitive landscape of</w:t>
      </w:r>
      <w:r>
        <w:t xml:space="preserve"> </w:t>
      </w:r>
      <w:r>
        <w:rPr>
          <w:iCs/>
          <w:i/>
        </w:rPr>
        <w:t xml:space="preserve">Turkey Istanbul</w:t>
      </w:r>
      <w:r>
        <w:t xml:space="preserve">.</w:t>
      </w:r>
    </w:p>
    <w:bookmarkEnd w:id="26"/>
    <w:bookmarkStart w:id="27" w:name="Xaebc36b7b7819db235b5f51bc3e5431eea5c87d"/>
    <w:p>
      <w:pPr>
        <w:pStyle w:val="Heading2"/>
      </w:pPr>
      <w:r>
        <w:t xml:space="preserve">Conclusion: The Indispensable Financial Analyst in Turkey's Economic Narrative</w:t>
      </w:r>
    </w:p>
    <w:p>
      <w:pPr>
        <w:pStyle w:val="FirstParagraph"/>
      </w:pPr>
      <w:r>
        <w:t xml:space="preserve">This dissertation underscores that the profession of the Financial Analyst is not merely functional but foundational to sustainable economic growth in Istanbul and, by extension,</w:t>
      </w:r>
      <w:r>
        <w:t xml:space="preserve"> </w:t>
      </w:r>
      <w:r>
        <w:rPr>
          <w:iCs/>
          <w:i/>
        </w:rPr>
        <w:t xml:space="preserve">Turkey</w:t>
      </w:r>
      <w:r>
        <w:t xml:space="preserve">. As Turkey navigates its path toward greater market integration and structural reform, the analytical rigor provided by Financial Analysts directly informs policy efficacy, corporate resilience, and investor confidence. Their expertise transforms raw financial data into strategic narratives that guide decisions impacting millions of Turkish citizens. For any institution or investor engaging with the</w:t>
      </w:r>
      <w:r>
        <w:t xml:space="preserve"> </w:t>
      </w:r>
      <w:r>
        <w:rPr>
          <w:iCs/>
          <w:i/>
        </w:rPr>
        <w:t xml:space="preserve">Turkey Istanbul</w:t>
      </w:r>
      <w:r>
        <w:t xml:space="preserve"> </w:t>
      </w:r>
      <w:r>
        <w:t xml:space="preserve">market – whether a local SME seeking expansion capital or an international fund evaluating emerging market allocations – the quality and contextual relevance of Financial Analysts' work is the critical factor determining success in this dynamic, high-stakes environment. The evolving role of the Financial Analyst in Istanbul thus represents not just a career path, but a vital economic engine for Turkey's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Turkey Istanbul's Dynamic Market</dc:title>
  <dc:creator/>
  <dc:language>en</dc:language>
  <cp:keywords/>
  <dcterms:created xsi:type="dcterms:W3CDTF">2025-12-12T08:51:16Z</dcterms:created>
  <dcterms:modified xsi:type="dcterms:W3CDTF">2025-12-12T08:51:16Z</dcterms:modified>
</cp:coreProperties>
</file>

<file path=docProps/custom.xml><?xml version="1.0" encoding="utf-8"?>
<Properties xmlns="http://schemas.openxmlformats.org/officeDocument/2006/custom-properties" xmlns:vt="http://schemas.openxmlformats.org/officeDocument/2006/docPropsVTypes"/>
</file>