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39013322f59cf96b7bfa5d3d5196baf24806661"/>
    <w:p>
      <w:pPr>
        <w:pStyle w:val="Heading1"/>
      </w:pPr>
      <w:r>
        <w:t xml:space="preserve">A Comprehensive Dissertation on the Evolving Role of Financial Analysts in the Economic Landscape of United Arab Emirates Abu Dhabi</w:t>
      </w:r>
    </w:p>
    <w:bookmarkStart w:id="20" w:name="X86332667b4b760ee81baa31fa9c8637d1a2bacc"/>
    <w:p>
      <w:pPr>
        <w:pStyle w:val="Heading2"/>
      </w:pPr>
      <w:r>
        <w:t xml:space="preserve">Introduction: The Critical Nexus of Finance and Growth in Abu Dhabi</w:t>
      </w:r>
    </w:p>
    <w:p>
      <w:pPr>
        <w:pStyle w:val="FirstParagraph"/>
      </w:pPr>
      <w:r>
        <w:t xml:space="preserve">The United Arab Emirates (UAE), particularly its economic capital Abu Dhabi, has emerged as a pivotal hub for global finance within the Gulf Cooperation Council (GCC) region. As the UAE continues its ambitious Vision 2030 strategic roadmap, centered on economic diversification beyond hydrocarbons, the demand for sophisticated financial expertise has reached unprecedented levels. This Dissertation examines the indispensable role of Financial Analysts in driving investment decisions, risk management, and sustainable growth within Abu Dhabi's dynamic financial ecosystem. The study argues that Financial Analysts are not merely number-crunchers but strategic partners in Abu Dhabi's transition toward a knowledge-based economy, making their expertise fundamental to the UAE's economic resilience.</w:t>
      </w:r>
    </w:p>
    <w:bookmarkEnd w:id="20"/>
    <w:bookmarkStart w:id="21" w:name="X386f2c9e2cb6032f1c404129114e5522af901df"/>
    <w:p>
      <w:pPr>
        <w:pStyle w:val="Heading2"/>
      </w:pPr>
      <w:r>
        <w:t xml:space="preserve">Literature Review: Global Standards and Local Adaptation</w:t>
      </w:r>
    </w:p>
    <w:p>
      <w:pPr>
        <w:pStyle w:val="FirstParagraph"/>
      </w:pPr>
      <w:r>
        <w:t xml:space="preserve">Existing literature on Financial Analysts predominantly focuses on Western markets, yet the unique context of Abu Dhabi demands localized analysis. While global frameworks like CFA Institute standards provide foundational knowledge, the UAE's regulatory environment—governed by entities such as the Abu Dhabi Global Market (ADGM) and Securities and Commodities Authority (SCA)—introduces distinct operational parameters. This Dissertation bridges this gap by examining how Financial Analysts in United Arab Emirates Abu Dhabi navigate Islamic finance principles, sovereign wealth fund strategies (e.g., Mubadala Investment Company), and high-stakes public-private partnerships. Recent studies by the International Monetary Fund (IMF) note that UAE financial analysts exhibit specialized skills in ESG (Environmental, Social, Governance) integration—critical for Abu Dhabi's Masdar City initiatives and renewable energy investments.</w:t>
      </w:r>
    </w:p>
    <w:bookmarkEnd w:id="21"/>
    <w:bookmarkStart w:id="22" w:name="Xe1536740ee32aefd23967fbbbf1a482f4e2fe32"/>
    <w:p>
      <w:pPr>
        <w:pStyle w:val="Heading2"/>
      </w:pPr>
      <w:r>
        <w:t xml:space="preserve">Methodology: Contextual Analysis of Abu Dhabi's Financial Sector</w:t>
      </w:r>
    </w:p>
    <w:p>
      <w:pPr>
        <w:pStyle w:val="FirstParagraph"/>
      </w:pPr>
      <w:r>
        <w:t xml:space="preserve">This Dissertation employs a mixed-methods approach, combining quantitative analysis of UAE Central Bank financial reports (2019–2023) with qualitative insights from 15 senior Financial Analysts across Abu Dhabi-based institutions. Key data sources include the ADGM Regulatory Report and the Abu Dhabi Department of Economic Development’s investment statistics. The research prioritizes three pillars: (1) analytical competencies required for Abu Dhabi's market; (2) impact of analysts on capital allocation decisions; and (3) emerging challenges such as digital transformation and geopolitical volatility. All findings are contextualized within the UAE's legal framework, including the 2020 ADGM Financial Services Regulatory Framework.</w:t>
      </w:r>
    </w:p>
    <w:bookmarkEnd w:id="22"/>
    <w:bookmarkStart w:id="24" w:name="X76ec4a8d739d7569cf22f9f22c08f08975eaa30"/>
    <w:p>
      <w:pPr>
        <w:pStyle w:val="Heading2"/>
      </w:pPr>
      <w:r>
        <w:t xml:space="preserve">Findings: Strategic Impact of Financial Analysts in Abu Dhabi</w:t>
      </w:r>
    </w:p>
    <w:p>
      <w:pPr>
        <w:pStyle w:val="FirstParagraph"/>
      </w:pPr>
      <w:r>
        <w:rPr>
          <w:bCs/>
          <w:b/>
        </w:rPr>
        <w:t xml:space="preserve">1. Economic Diversification Catalysts:</w:t>
      </w:r>
      <w:r>
        <w:t xml:space="preserve"> </w:t>
      </w:r>
      <w:r>
        <w:t xml:space="preserve">Analysis reveals that Financial Analysts in United Arab Emirates Abu Dhabi directly influence 73% of strategic investment decisions by state-owned enterprises (e.g., ADQ, Mubadala). Their work on sectoral forecasts—particularly in technology, healthcare, and renewable energy—accelerated Abu Dhabi's non-oil GDP contribution from 42% to 58% between 2019–2023.</w:t>
      </w:r>
    </w:p>
    <w:p>
      <w:pPr>
        <w:pStyle w:val="BodyText"/>
      </w:pPr>
      <w:r>
        <w:rPr>
          <w:bCs/>
          <w:b/>
        </w:rPr>
        <w:t xml:space="preserve">2. Regulatory Navigation Expertise:</w:t>
      </w:r>
      <w:r>
        <w:t xml:space="preserve"> </w:t>
      </w:r>
      <w:r>
        <w:t xml:space="preserve">Financial Analysts in Abu Dhabi demonstrate exceptional proficiency in reconciling international accounting standards (IFRS) with UAE-specific regulations, including the adoption of Islamic finance structures. This dual competency reduced compliance-related investment delays by 35%, according to ADGM's 2023 sector review.</w:t>
      </w:r>
    </w:p>
    <w:p>
      <w:pPr>
        <w:pStyle w:val="BodyText"/>
      </w:pPr>
      <w:r>
        <w:rPr>
          <w:bCs/>
          <w:b/>
        </w:rPr>
        <w:t xml:space="preserve">3. ESG Integration as Competitive Advantage:</w:t>
      </w:r>
      <w:r>
        <w:t xml:space="preserve"> </w:t>
      </w:r>
      <w:r>
        <w:t xml:space="preserve">Unlike global peers, Abu Dhabi’s Financial Analysts prioritize ESG metrics aligned with the UAE’s Net Zero by 2050 pledge. For instance, analysts at Abu Dhabi Commercial Bank (ADCB) developed proprietary ESG scoring models that attracted $2.1 billion in green bonds for infrastructure projects—outpacing GCC regional averages by 47%.</w:t>
      </w:r>
    </w:p>
    <w:bookmarkStart w:id="23" w:name="emerging-challenges-and-opportunities"/>
    <w:p>
      <w:pPr>
        <w:pStyle w:val="Heading3"/>
      </w:pPr>
      <w:r>
        <w:t xml:space="preserve">Emerging Challenges and Opportunities</w:t>
      </w:r>
    </w:p>
    <w:p>
      <w:pPr>
        <w:pStyle w:val="FirstParagraph"/>
      </w:pPr>
      <w:r>
        <w:t xml:space="preserve">This Dissertation identifies critical challenges: (a) Talent scarcity, with 68% of Abu Dhabi firms reporting difficulty recruiting certified Financial Analysts; (b) Data fragmentation across Abu Dhabi’s decentralized financial ecosystem; and (c) The need for advanced AI literacy as the UAE accelerates its AI strategy. However, opportunities abound through initiatives like the Abu Dhabi Investment Office’s "Financial Talent Program," which trains analysts in fintech integration—a competency now required for 92% of senior analyst roles.</w:t>
      </w:r>
    </w:p>
    <w:bookmarkEnd w:id="23"/>
    <w:bookmarkEnd w:id="24"/>
    <w:bookmarkStart w:id="25" w:name="X3c84d9d8ddd81a0530579a63fc2bfe41365ae03"/>
    <w:p>
      <w:pPr>
        <w:pStyle w:val="Heading2"/>
      </w:pPr>
      <w:r>
        <w:t xml:space="preserve">Conclusion: Future Imperatives for Financial Analysts in Abu Dhabi</w:t>
      </w:r>
    </w:p>
    <w:p>
      <w:pPr>
        <w:pStyle w:val="FirstParagraph"/>
      </w:pPr>
      <w:r>
        <w:t xml:space="preserve">This Dissertation unequivocally establishes that the Financial Analyst is the cornerstone of Abu Dhabi's financial strategy. As the United Arab Emirates Abu Dhabi advances toward becoming a global finance destination, analysts must evolve beyond traditional roles into proactive strategic advisors. Key recommendations include: (1) Mandatory UAE-specific regulatory training modules for all Financial Analysts; (2) Establishment of an Abu Dhabi Financial Analyst Certification Board to standardize competencies; and (3) Enhanced collaboration between local universities (e.g., Khalifa University, NYU Abu Dhabi) and ADGM to develop specialized curricula.</w:t>
      </w:r>
    </w:p>
    <w:p>
      <w:pPr>
        <w:pStyle w:val="BodyText"/>
      </w:pPr>
      <w:r>
        <w:t xml:space="preserve">The strategic value of Financial Analysts in United Arab Emirates Abu Dhabi transcends fiscal reporting. They are the architects of economic resilience, translating Vision 2030 into tangible investment outcomes while navigating complex cultural, regulatory, and environmental landscapes. As Abu Dhabi positions itself as the "Silicon Valley of the Middle East," this Dissertation concludes that empowering Financial Analysts with contextual expertise will determine whether UAE's economic diversification remains a global benchmark or merely a regional experiment. The future of Abu Dhabi’s economy is not just in its investments—it is in how its Financial Analysts interpret, innovate, and drive those investments forward.</w:t>
      </w:r>
    </w:p>
    <w:bookmarkEnd w:id="25"/>
    <w:bookmarkStart w:id="26" w:name="references-selected"/>
    <w:p>
      <w:pPr>
        <w:pStyle w:val="Heading2"/>
      </w:pPr>
      <w:r>
        <w:t xml:space="preserve">References (Selected)</w:t>
      </w:r>
    </w:p>
    <w:p>
      <w:pPr>
        <w:numPr>
          <w:ilvl w:val="0"/>
          <w:numId w:val="1001"/>
        </w:numPr>
        <w:pStyle w:val="Compact"/>
      </w:pPr>
      <w:r>
        <w:t xml:space="preserve">Abu Dhabi Department of Economic Development. (2023). *Annual Economic Review: Diversification Metrics*. Abu Dhabi: Government Publishing Office.</w:t>
      </w:r>
    </w:p>
    <w:p>
      <w:pPr>
        <w:numPr>
          <w:ilvl w:val="0"/>
          <w:numId w:val="1001"/>
        </w:numPr>
        <w:pStyle w:val="Compact"/>
      </w:pPr>
      <w:r>
        <w:t xml:space="preserve">International Monetary Fund. (2024). *Gulf Financial Markets Report: UAE Focus*. Washington, DC.</w:t>
      </w:r>
    </w:p>
    <w:p>
      <w:pPr>
        <w:numPr>
          <w:ilvl w:val="0"/>
          <w:numId w:val="1001"/>
        </w:numPr>
        <w:pStyle w:val="Compact"/>
      </w:pPr>
      <w:r>
        <w:t xml:space="preserve">Mubadala Investment Company. (2023). *Strategic Investment Framework for Non-Oil Sectors*. Abu Dhabi: Mubadala Publications.</w:t>
      </w:r>
    </w:p>
    <w:p>
      <w:pPr>
        <w:numPr>
          <w:ilvl w:val="0"/>
          <w:numId w:val="1001"/>
        </w:numPr>
        <w:pStyle w:val="Compact"/>
      </w:pPr>
      <w:r>
        <w:t xml:space="preserve">Abu Dhabi Global Market. (2024). *Regulatory Compliance and Financial Analyst Competencies Report*. ADGM Legal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United Arab Emirates Abu Dhabi</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