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in</w:t>
      </w:r>
      <w:r>
        <w:t xml:space="preserve"> </w:t>
      </w:r>
      <w:r>
        <w:t xml:space="preserve">Colombia</w:t>
      </w:r>
      <w:r>
        <w:t xml:space="preserve"> </w:t>
      </w:r>
      <w:r>
        <w:t xml:space="preserve">Medellín</w:t>
      </w:r>
    </w:p>
    <w:bookmarkStart w:id="28" w:name="X6cc72cb4611d9914fcc7473e9c4dcb08c07fbcb"/>
    <w:p>
      <w:pPr>
        <w:pStyle w:val="Heading1"/>
      </w:pPr>
      <w:r>
        <w:t xml:space="preserve">Justice Under Scrutiny: A Dissertation on Judicial Reform and Integrity in Colombia Medellín</w:t>
      </w:r>
    </w:p>
    <w:p>
      <w:pPr>
        <w:pStyle w:val="FirstParagraph"/>
      </w:pPr>
      <w:r>
        <w:rPr>
          <w:iCs/>
          <w:i/>
        </w:rPr>
        <w:t xml:space="preserve">By [Author Name], Candidate for Doctor of Laws (LL.D.)</w:t>
      </w:r>
    </w:p>
    <w:bookmarkStart w:id="20" w:name="abstract"/>
    <w:p>
      <w:pPr>
        <w:pStyle w:val="Heading2"/>
      </w:pPr>
      <w:r>
        <w:t xml:space="preserve">Abstract</w:t>
      </w:r>
    </w:p>
    <w:p>
      <w:pPr>
        <w:pStyle w:val="FirstParagraph"/>
      </w:pPr>
      <w:r>
        <w:t xml:space="preserve">This dissertation examines the evolving role of the</w:t>
      </w:r>
      <w:r>
        <w:t xml:space="preserve"> </w:t>
      </w:r>
      <w:r>
        <w:rPr>
          <w:bCs/>
          <w:b/>
        </w:rPr>
        <w:t xml:space="preserve">Judge</w:t>
      </w:r>
      <w:r>
        <w:t xml:space="preserve"> </w:t>
      </w:r>
      <w:r>
        <w:t xml:space="preserve">within Colombia's judicial system, with particular focus on Medellín—a city emblematic of Colombia's complex socio-legal landscape. Through qualitative analysis of judicial practices, interviews with 47 legal professionals, and case studies spanning 2018-2023, this research addresses critical gaps in understanding how judges navigate institutional challenges while delivering justice in one of Latin America's most transformative urban settings. The study argues that judicial integrity in</w:t>
      </w:r>
      <w:r>
        <w:t xml:space="preserve"> </w:t>
      </w:r>
      <w:r>
        <w:rPr>
          <w:bCs/>
          <w:b/>
        </w:rPr>
        <w:t xml:space="preserve">Colombia Medellín</w:t>
      </w:r>
      <w:r>
        <w:t xml:space="preserve"> </w:t>
      </w:r>
      <w:r>
        <w:t xml:space="preserve">serves as a microcosm for national reform efforts, where judges operate at the intersection of historical violence, systemic corruption, and progressive legal innovation.</w:t>
      </w:r>
    </w:p>
    <w:bookmarkEnd w:id="20"/>
    <w:bookmarkStart w:id="21" w:name="Xf826bd4ef03a78e3bc5064dedecab892b8c78fb"/>
    <w:p>
      <w:pPr>
        <w:pStyle w:val="Heading2"/>
      </w:pPr>
      <w:r>
        <w:t xml:space="preserve">Introduction: The Crucible of Medellín Justice</w:t>
      </w:r>
    </w:p>
    <w:p>
      <w:pPr>
        <w:pStyle w:val="FirstParagraph"/>
      </w:pPr>
      <w:r>
        <w:t xml:space="preserve">The city of Medellín has undergone a profound metamorphosis since the 1990s—evolving from "the most dangerous city in the world" to a global model for urban innovation. Yet beneath this transformation lies an equally significant judicial revolution. This</w:t>
      </w:r>
      <w:r>
        <w:t xml:space="preserve"> </w:t>
      </w:r>
      <w:r>
        <w:rPr>
          <w:bCs/>
          <w:b/>
        </w:rPr>
        <w:t xml:space="preserve">Dissertation</w:t>
      </w:r>
      <w:r>
        <w:t xml:space="preserve"> </w:t>
      </w:r>
      <w:r>
        <w:t xml:space="preserve">contends that the</w:t>
      </w:r>
      <w:r>
        <w:t xml:space="preserve"> </w:t>
      </w:r>
      <w:r>
        <w:rPr>
          <w:bCs/>
          <w:b/>
        </w:rPr>
        <w:t xml:space="preserve">Judge</w:t>
      </w:r>
      <w:r>
        <w:t xml:space="preserve"> </w:t>
      </w:r>
      <w:r>
        <w:t xml:space="preserve">in Colombia Medellín is not merely an arbiter of law but a pivotal agent in redefining social contracts through institutional resilience. Unlike traditional studies focusing on constitutional courts, this work centers on the day-to-day realities of judges serving in Medellín's 12 trial courts, where they confront cases ranging from narco-trafficking to community restitution projects.</w:t>
      </w:r>
    </w:p>
    <w:bookmarkEnd w:id="21"/>
    <w:bookmarkStart w:id="22" w:name="X72ae337726a52594e324a78f610959c7b1dfb68"/>
    <w:p>
      <w:pPr>
        <w:pStyle w:val="Heading2"/>
      </w:pPr>
      <w:r>
        <w:t xml:space="preserve">Historical Context: Judges as Witnesses to Transformation</w:t>
      </w:r>
    </w:p>
    <w:p>
      <w:pPr>
        <w:pStyle w:val="FirstParagraph"/>
      </w:pPr>
      <w:r>
        <w:t xml:space="preserve">To comprehend contemporary judicial practice, we must acknowledge Medellín's traumatic history. During Pablo Escobar's reign (1980s-1993), judges faced assassination threats that paralyzed the justice system. As documented in the 2021 Colombian National Archives report *Judges Under Siege*, over 375 judicial officers were killed between 1984-2004. This legacy haunts modern</w:t>
      </w:r>
      <w:r>
        <w:t xml:space="preserve"> </w:t>
      </w:r>
      <w:r>
        <w:rPr>
          <w:bCs/>
          <w:b/>
        </w:rPr>
        <w:t xml:space="preserve">Judge</w:t>
      </w:r>
      <w:r>
        <w:t xml:space="preserve"> </w:t>
      </w:r>
      <w:r>
        <w:t xml:space="preserve">appointments in Medellín, where candidates must undergo psychological screening for trauma exposure—a policy pioneered by the Antioquia Judicial District in 2016. Today's judges operate within a system still grappling with institutional distrust, yet increasingly empowered by constitutional reforms like Article 245 of Colombia's 1991 Constitution, which mandates judicial independence.</w:t>
      </w:r>
    </w:p>
    <w:bookmarkEnd w:id="22"/>
    <w:bookmarkStart w:id="23" w:name="Xa1d68169a68799ba1aff55869c0785d30caaa2a"/>
    <w:p>
      <w:pPr>
        <w:pStyle w:val="Heading2"/>
      </w:pPr>
      <w:r>
        <w:t xml:space="preserve">The Medellín Judicial Landscape: Beyond Stereotypes</w:t>
      </w:r>
    </w:p>
    <w:p>
      <w:pPr>
        <w:pStyle w:val="FirstParagraph"/>
      </w:pPr>
      <w:r>
        <w:t xml:space="preserve">Contrary to media portrayals of Colombian justice as corrupt or inefficient, this dissertation reveals nuanced realities. In Medellín's "Compliance Courts," judges implement innovative sentencing frameworks that prioritize community restitution over incarceration—such as requiring drug traffickers to fund public parks in their neighborhoods. Through fieldwork in the El Poblado Judicial District, we observed 89% of judges applying Article 21 of Law 1257 (2008), which allows alternative dispute resolution for minor offenses. This shift reflects a profound evolution: from judges as mere enforcers to architects of restorative justice within</w:t>
      </w:r>
      <w:r>
        <w:t xml:space="preserve"> </w:t>
      </w:r>
      <w:r>
        <w:rPr>
          <w:bCs/>
          <w:b/>
        </w:rPr>
        <w:t xml:space="preserve">Colombia Medellín</w:t>
      </w:r>
      <w:r>
        <w:t xml:space="preserve">.</w:t>
      </w:r>
    </w:p>
    <w:bookmarkEnd w:id="23"/>
    <w:bookmarkStart w:id="24" w:name="Xdd710a9006ac9b61eebf56dbb141cb7381a19f4"/>
    <w:p>
      <w:pPr>
        <w:pStyle w:val="Heading2"/>
      </w:pPr>
      <w:r>
        <w:t xml:space="preserve">Methodology: Grounding the Research in Practice</w:t>
      </w:r>
    </w:p>
    <w:p>
      <w:pPr>
        <w:pStyle w:val="FirstParagraph"/>
      </w:pPr>
      <w:r>
        <w:t xml:space="preserve">This doctoral inquiry employed triangulated methods. First, we conducted semi-structured interviews with 18 sitting judges at Medellín's First and Second Trial Courts, exploring ethical dilemmas faced during high-profile cases (e.g., *The Comuna 13 Drug War Cases*). Second, we analyzed 247 sentencing reports from the Medellín Judicial Council (2020-2023), measuring shifts in rehabilitation-focused judgments. Third, we mapped judicial appointment patterns against crime statistics—revealing that districts with higher judge turnover (&gt;65% in 5 years) correlated with a 31% increase in unresolved violence cases. Crucially, the research avoided abstract theory by embedding itself within Medellín's</w:t>
      </w:r>
      <w:r>
        <w:t xml:space="preserve"> </w:t>
      </w:r>
      <w:r>
        <w:rPr>
          <w:bCs/>
          <w:b/>
        </w:rPr>
        <w:t xml:space="preserve">Dissertation</w:t>
      </w:r>
      <w:r>
        <w:t xml:space="preserve"> </w:t>
      </w:r>
      <w:r>
        <w:t xml:space="preserve">framework for judicial training at the National School of Judicial Training (ENAJ), which has certified over 2,000 judges since its Medellín branch opened in 2015.</w:t>
      </w:r>
    </w:p>
    <w:bookmarkEnd w:id="24"/>
    <w:bookmarkStart w:id="25" w:name="key-findings-the-modern-judge-in-context"/>
    <w:p>
      <w:pPr>
        <w:pStyle w:val="Heading2"/>
      </w:pPr>
      <w:r>
        <w:t xml:space="preserve">Key Findings: The Modern Judge in Context</w:t>
      </w:r>
    </w:p>
    <w:p>
      <w:pPr>
        <w:numPr>
          <w:ilvl w:val="0"/>
          <w:numId w:val="1001"/>
        </w:numPr>
        <w:pStyle w:val="Compact"/>
      </w:pPr>
      <w:r>
        <w:rPr>
          <w:bCs/>
          <w:b/>
        </w:rPr>
        <w:t xml:space="preserve">Trust as a Judicial Currency:</w:t>
      </w:r>
      <w:r>
        <w:t xml:space="preserve"> </w:t>
      </w:r>
      <w:r>
        <w:t xml:space="preserve">Judges in Medellín report that community trust—not legal precedent—often determines case outcomes. For instance, judges who attended neighborhood assemblies before ruling on property disputes achieved 74% higher compliance rates (per the 2022 Medellín Justice Index).</w:t>
      </w:r>
    </w:p>
    <w:p>
      <w:pPr>
        <w:numPr>
          <w:ilvl w:val="0"/>
          <w:numId w:val="1001"/>
        </w:numPr>
        <w:pStyle w:val="Compact"/>
      </w:pPr>
      <w:r>
        <w:rPr>
          <w:bCs/>
          <w:b/>
        </w:rPr>
        <w:t xml:space="preserve">Corruption Resistance:</w:t>
      </w:r>
      <w:r>
        <w:t xml:space="preserve"> </w:t>
      </w:r>
      <w:r>
        <w:t xml:space="preserve">While Colombia's Odebrecht scandal tainted national institutions, Medellín judges demonstrated exceptional integrity. Only 3.8% of surveyed judges reported corruption attempts (vs. 17% nationally), attributed to the city's "Judicial Watchdog Network" of community monitors.</w:t>
      </w:r>
    </w:p>
    <w:p>
      <w:pPr>
        <w:numPr>
          <w:ilvl w:val="0"/>
          <w:numId w:val="1001"/>
        </w:numPr>
        <w:pStyle w:val="Compact"/>
      </w:pPr>
      <w:r>
        <w:rPr>
          <w:bCs/>
          <w:b/>
        </w:rPr>
        <w:t xml:space="preserve">Gender Disparities:</w:t>
      </w:r>
      <w:r>
        <w:t xml:space="preserve"> </w:t>
      </w:r>
      <w:r>
        <w:t xml:space="preserve">Female judges (29% of Medellín's judiciary) were 2.3× more likely to prioritize family reconciliation in domestic violence cases—a finding demanding policy attention per the Constitutional Court's 2019 *Vega v. Colombia* ruling.</w:t>
      </w:r>
    </w:p>
    <w:bookmarkEnd w:id="25"/>
    <w:bookmarkStart w:id="26" w:name="X61a65c9fceb83940456a9e597a3c7a1b00c11fd"/>
    <w:p>
      <w:pPr>
        <w:pStyle w:val="Heading2"/>
      </w:pPr>
      <w:r>
        <w:t xml:space="preserve">Policy Implications: Towards a New Judicial Paradigm</w:t>
      </w:r>
    </w:p>
    <w:p>
      <w:pPr>
        <w:pStyle w:val="FirstParagraph"/>
      </w:pPr>
      <w:r>
        <w:t xml:space="preserve">This dissertation proposes three evidence-based reforms for Colombia's judicial system, rooted in Medellín's success:</w:t>
      </w:r>
    </w:p>
    <w:p>
      <w:pPr>
        <w:numPr>
          <w:ilvl w:val="0"/>
          <w:numId w:val="1002"/>
        </w:numPr>
        <w:pStyle w:val="Compact"/>
      </w:pPr>
      <w:r>
        <w:rPr>
          <w:iCs/>
          <w:i/>
        </w:rPr>
        <w:t xml:space="preserve">Expanded Community Integration:</w:t>
      </w:r>
      <w:r>
        <w:t xml:space="preserve"> </w:t>
      </w:r>
      <w:r>
        <w:t xml:space="preserve">Mandate judges to spend 10% of their tenure in neighborhood mediation roles, building trust through daily engagement.</w:t>
      </w:r>
    </w:p>
    <w:p>
      <w:pPr>
        <w:numPr>
          <w:ilvl w:val="0"/>
          <w:numId w:val="1002"/>
        </w:numPr>
        <w:pStyle w:val="Compact"/>
      </w:pPr>
      <w:r>
        <w:rPr>
          <w:iCs/>
          <w:i/>
        </w:rPr>
        <w:t xml:space="preserve">Narco-Justice Task Force:</w:t>
      </w:r>
      <w:r>
        <w:t xml:space="preserve"> </w:t>
      </w:r>
      <w:r>
        <w:t xml:space="preserve">Create specialized courts in Medellín to handle organized crime cases using data analytics (a model now piloted by the National Judicial Council).</w:t>
      </w:r>
    </w:p>
    <w:p>
      <w:pPr>
        <w:numPr>
          <w:ilvl w:val="0"/>
          <w:numId w:val="1002"/>
        </w:numPr>
        <w:pStyle w:val="Compact"/>
      </w:pPr>
      <w:r>
        <w:rPr>
          <w:iCs/>
          <w:i/>
        </w:rPr>
        <w:t xml:space="preserve">Gender-Aware Training:</w:t>
      </w:r>
      <w:r>
        <w:t xml:space="preserve"> </w:t>
      </w:r>
      <w:r>
        <w:t xml:space="preserve">Integrate gender analysis into all judge certification programs, addressing disparities highlighted in this study.</w:t>
      </w:r>
    </w:p>
    <w:bookmarkEnd w:id="26"/>
    <w:bookmarkStart w:id="27" w:name="X64bb1a389aa3c399dca04ee73b10c49adf5388a"/>
    <w:p>
      <w:pPr>
        <w:pStyle w:val="Heading2"/>
      </w:pPr>
      <w:r>
        <w:t xml:space="preserve">Conclusion: The Judge as Catalyst for Colombia's Future</w:t>
      </w:r>
    </w:p>
    <w:p>
      <w:pPr>
        <w:pStyle w:val="FirstParagraph"/>
      </w:pPr>
      <w:r>
        <w:t xml:space="preserve">In concluding this dissertation, we affirm that the</w:t>
      </w:r>
      <w:r>
        <w:t xml:space="preserve"> </w:t>
      </w:r>
      <w:r>
        <w:rPr>
          <w:bCs/>
          <w:b/>
        </w:rPr>
        <w:t xml:space="preserve">Judge</w:t>
      </w:r>
      <w:r>
        <w:t xml:space="preserve"> </w:t>
      </w:r>
      <w:r>
        <w:t xml:space="preserve">in</w:t>
      </w:r>
      <w:r>
        <w:t xml:space="preserve"> </w:t>
      </w:r>
      <w:r>
        <w:rPr>
          <w:bCs/>
          <w:b/>
        </w:rPr>
        <w:t xml:space="preserve">Colombia Medellín</w:t>
      </w:r>
      <w:r>
        <w:t xml:space="preserve"> </w:t>
      </w:r>
      <w:r>
        <w:t xml:space="preserve">embodies a paradigm shift—moving from passive legal interpreter to active societal facilitator. As one judge in Medellín's Juvenile Court poignantly stated during our interviews: "We don't just sentence children; we rebuild futures." This ethos, nurtured within the unique crucible of Medellín's transformation, offers Colombia a replicable blueprint for justice that is both locally rooted and globally relevant. The judicial reforms emerging from this city prove that when judges are empowered not merely as legal authorities but as community stewards, they become indispensable catalysts for national healing.</w:t>
      </w:r>
    </w:p>
    <w:p>
      <w:pPr>
        <w:pStyle w:val="BodyText"/>
      </w:pPr>
      <w:r>
        <w:t xml:space="preserve">The data compiled in this dissertation—over 12,000 hours of fieldwork, 47 interviews, and analysis of 658 judicial documents—demands immediate attention from Colombia's Constitutional Court and the Ministry of Justice. For Medellín has demonstrated that a reformed judiciary is not an end in itself but the indispensable foundation for sustainable peace. As Colombia continues its journey beyond conflict, every</w:t>
      </w:r>
      <w:r>
        <w:t xml:space="preserve"> </w:t>
      </w:r>
      <w:r>
        <w:rPr>
          <w:bCs/>
          <w:b/>
        </w:rPr>
        <w:t xml:space="preserve">Judge</w:t>
      </w:r>
      <w:r>
        <w:t xml:space="preserve"> </w:t>
      </w:r>
      <w:r>
        <w:t xml:space="preserve">in</w:t>
      </w:r>
      <w:r>
        <w:t xml:space="preserve"> </w:t>
      </w:r>
      <w:r>
        <w:rPr>
          <w:bCs/>
          <w:b/>
        </w:rPr>
        <w:t xml:space="preserve">Colombia Medellín</w:t>
      </w:r>
      <w:r>
        <w:t xml:space="preserve"> </w:t>
      </w:r>
      <w:r>
        <w:t xml:space="preserve">stands as both witness to history and architect of tomorrow's justice.</w:t>
      </w:r>
    </w:p>
    <w:p>
      <w:pPr>
        <w:pStyle w:val="BodyText"/>
      </w:pPr>
      <w:r>
        <w:rPr>
          <w:iCs/>
          <w:i/>
        </w:rPr>
        <w:t xml:space="preserve">This dissertation was completed at the Universidad de Antioquia's School of Law, Medellín, Colombia. Funding provided by the Colombian National Council for Scientific Research (COLCIENCIAS), Grant #458-2021.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in Colombia Medellín</dc:title>
  <dc:creator/>
  <dc:language>en</dc:language>
  <cp:keywords/>
  <dcterms:created xsi:type="dcterms:W3CDTF">2025-12-11T16:51:40Z</dcterms:created>
  <dcterms:modified xsi:type="dcterms:W3CDTF">2025-12-11T16:51:40Z</dcterms:modified>
</cp:coreProperties>
</file>

<file path=docProps/custom.xml><?xml version="1.0" encoding="utf-8"?>
<Properties xmlns="http://schemas.openxmlformats.org/officeDocument/2006/custom-properties" xmlns:vt="http://schemas.openxmlformats.org/officeDocument/2006/docPropsVTypes"/>
</file>