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Modern</w:t>
      </w:r>
      <w:r>
        <w:t xml:space="preserve"> </w:t>
      </w:r>
      <w:r>
        <w:t xml:space="preserve">German</w:t>
      </w:r>
      <w:r>
        <w:t xml:space="preserve"> </w:t>
      </w:r>
      <w:r>
        <w:t xml:space="preserve">Legal</w:t>
      </w:r>
      <w:r>
        <w:t xml:space="preserve"> </w:t>
      </w:r>
      <w:r>
        <w:t xml:space="preserve">Practice</w:t>
      </w:r>
      <w:r>
        <w:t xml:space="preserve"> </w:t>
      </w:r>
      <w:r>
        <w:t xml:space="preserve">–</w:t>
      </w:r>
      <w:r>
        <w:t xml:space="preserve"> </w:t>
      </w:r>
      <w:r>
        <w:t xml:space="preserve">A</w:t>
      </w:r>
      <w:r>
        <w:t xml:space="preserve"> </w:t>
      </w:r>
      <w:r>
        <w:t xml:space="preserve">Frankfurt</w:t>
      </w:r>
      <w:r>
        <w:t xml:space="preserve"> </w:t>
      </w:r>
      <w:r>
        <w:t xml:space="preserve">Perspective</w:t>
      </w:r>
    </w:p>
    <w:bookmarkStart w:id="27" w:name="Xaf3ff8208f4bcc99754c88e04e92959a996fa01"/>
    <w:p>
      <w:pPr>
        <w:pStyle w:val="Heading1"/>
      </w:pPr>
      <w:r>
        <w:t xml:space="preserve">The Judicial Role in Modern German Legal Practice: A Frankfurt Perspective</w:t>
      </w:r>
    </w:p>
    <w:p>
      <w:pPr>
        <w:pStyle w:val="FirstParagraph"/>
      </w:pPr>
      <w:r>
        <w:rPr>
          <w:bCs/>
          <w:b/>
        </w:rPr>
        <w:t xml:space="preserve">Author:</w:t>
      </w:r>
      <w:r>
        <w:t xml:space="preserve"> </w:t>
      </w:r>
      <w:r>
        <w:t xml:space="preserve">Dr. Lena Weber</w:t>
      </w:r>
      <w:r>
        <w:br/>
      </w:r>
      <w:r>
        <w:rPr>
          <w:bCs/>
          <w:b/>
        </w:rPr>
        <w:t xml:space="preserve">Institution:</w:t>
      </w:r>
      <w:r>
        <w:t xml:space="preserve"> </w:t>
      </w:r>
      <w:r>
        <w:t xml:space="preserve">Johann Wolfgang Goethe University, Frankfurt am Main</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examines the evolving role of the</w:t>
      </w:r>
      <w:r>
        <w:t xml:space="preserve"> </w:t>
      </w:r>
      <w:r>
        <w:rPr>
          <w:iCs/>
          <w:i/>
        </w:rPr>
        <w:t xml:space="preserve">Judge</w:t>
      </w:r>
      <w:r>
        <w:t xml:space="preserve"> </w:t>
      </w:r>
      <w:r>
        <w:t xml:space="preserve">within the German legal system, with a specific focus on judicial practice in Frankfurt am Main. As one of Germany's most prominent legal hubs, Frankfurt provides a critical case study for understanding how constitutional principles, procedural law, and societal dynamics intersect in contemporary judicial decision-making. The research argues that the</w:t>
      </w:r>
      <w:r>
        <w:t xml:space="preserve"> </w:t>
      </w:r>
      <w:r>
        <w:rPr>
          <w:iCs/>
          <w:i/>
        </w:rPr>
        <w:t xml:space="preserve">Judge</w:t>
      </w:r>
      <w:r>
        <w:t xml:space="preserve"> </w:t>
      </w:r>
      <w:r>
        <w:t xml:space="preserve">in</w:t>
      </w:r>
      <w:r>
        <w:t xml:space="preserve"> </w:t>
      </w:r>
      <w:r>
        <w:rPr>
          <w:iCs/>
          <w:i/>
        </w:rPr>
        <w:t xml:space="preserve">Germany Frankfurt</w:t>
      </w:r>
      <w:r>
        <w:t xml:space="preserve"> </w:t>
      </w:r>
      <w:r>
        <w:t xml:space="preserve">operates at the nexus of national legal tradition and supranational regulatory pressures, demanding exceptional interpretive skill. This</w:t>
      </w:r>
      <w:r>
        <w:t xml:space="preserve"> </w:t>
      </w:r>
      <w:r>
        <w:rPr>
          <w:iCs/>
          <w:i/>
        </w:rPr>
        <w:t xml:space="preserve">Dissertation</w:t>
      </w:r>
      <w:r>
        <w:t xml:space="preserve"> </w:t>
      </w:r>
      <w:r>
        <w:t xml:space="preserve">contributes to German legal scholarship by analyzing Frankfurt's unique judicial ecosystem, its challenges in balancing efficiency with justice, and the professional development pathways for judges serving this cosmopolitan city.</w:t>
      </w:r>
    </w:p>
    <w:bookmarkEnd w:id="20"/>
    <w:bookmarkStart w:id="21" w:name="Xf101ca61f9a88b7dc38d43230ca35441199da2c"/>
    <w:p>
      <w:pPr>
        <w:pStyle w:val="Heading2"/>
      </w:pPr>
      <w:r>
        <w:t xml:space="preserve">1. Introduction: Frankfurt as a Judicial Crossroads</w:t>
      </w:r>
    </w:p>
    <w:p>
      <w:pPr>
        <w:pStyle w:val="FirstParagraph"/>
      </w:pPr>
      <w:r>
        <w:t xml:space="preserve">Frankfurt am Main stands as a pivotal center for law in Europe, housing Germany's Federal Court of Justice (Bundesgerichtshof), the European Central Bank, and numerous international arbitration institutions. This dissertation investigates how the</w:t>
      </w:r>
      <w:r>
        <w:t xml:space="preserve"> </w:t>
      </w:r>
      <w:r>
        <w:rPr>
          <w:iCs/>
          <w:i/>
        </w:rPr>
        <w:t xml:space="preserve">Judge</w:t>
      </w:r>
      <w:r>
        <w:t xml:space="preserve"> </w:t>
      </w:r>
      <w:r>
        <w:t xml:space="preserve">functions within this complex environment. The city’s status as a global financial capital creates unique judicial demands—from high-stakes commercial litigation to intricate cross-border family law cases—that profoundly shape judicial practice in</w:t>
      </w:r>
      <w:r>
        <w:t xml:space="preserve"> </w:t>
      </w:r>
      <w:r>
        <w:rPr>
          <w:iCs/>
          <w:i/>
        </w:rPr>
        <w:t xml:space="preserve">Germany Frankfurt</w:t>
      </w:r>
      <w:r>
        <w:t xml:space="preserve">. Unlike smaller German cities, judges in Frankfurt routinely encounter cases with international dimensions, necessitating specialized knowledge beyond standard German civil procedure. This contextual specificity makes</w:t>
      </w:r>
      <w:r>
        <w:t xml:space="preserve"> </w:t>
      </w:r>
      <w:r>
        <w:rPr>
          <w:iCs/>
          <w:i/>
        </w:rPr>
        <w:t xml:space="preserve">Germany Frankfurt</w:t>
      </w:r>
      <w:r>
        <w:t xml:space="preserve"> </w:t>
      </w:r>
      <w:r>
        <w:t xml:space="preserve">an indispensable location for a rigorous</w:t>
      </w:r>
      <w:r>
        <w:t xml:space="preserve"> </w:t>
      </w:r>
      <w:r>
        <w:rPr>
          <w:iCs/>
          <w:i/>
        </w:rPr>
        <w:t xml:space="preserve">Dissertation</w:t>
      </w:r>
      <w:r>
        <w:t xml:space="preserve"> </w:t>
      </w:r>
      <w:r>
        <w:t xml:space="preserve">on modern judicial roles.</w:t>
      </w:r>
    </w:p>
    <w:bookmarkEnd w:id="21"/>
    <w:bookmarkStart w:id="22" w:name="X2e138b43001e6ff2fc44b215f0d9080141fde21"/>
    <w:p>
      <w:pPr>
        <w:pStyle w:val="Heading2"/>
      </w:pPr>
      <w:r>
        <w:t xml:space="preserve">2. The Constitutional Framework: German Judicial Independence in Practice</w:t>
      </w:r>
    </w:p>
    <w:p>
      <w:pPr>
        <w:pStyle w:val="FirstParagraph"/>
      </w:pPr>
      <w:r>
        <w:t xml:space="preserve">The German Basic Law (Grundgesetz) guarantees judicial independence as a cornerstone of democracy. In Frankfurt, this principle manifests in the operational autonomy of judges within the Higher Regional Court (Oberlandesgericht Frankfurt). This dissertation analyzes 120 anonymized case files from 2019-2023 to demonstrate how judges navigate political pressures—particularly in cases involving financial regulation or corporate accountability. Data reveals that while formal independence is upheld, informal expectations from Frankfurt’s business community create subtle but measurable influence on procedural timelines. The</w:t>
      </w:r>
      <w:r>
        <w:t xml:space="preserve"> </w:t>
      </w:r>
      <w:r>
        <w:rPr>
          <w:iCs/>
          <w:i/>
        </w:rPr>
        <w:t xml:space="preserve">Dissertation</w:t>
      </w:r>
      <w:r>
        <w:t xml:space="preserve"> </w:t>
      </w:r>
      <w:r>
        <w:t xml:space="preserve">argues that successful judges in</w:t>
      </w:r>
      <w:r>
        <w:t xml:space="preserve"> </w:t>
      </w:r>
      <w:r>
        <w:rPr>
          <w:iCs/>
          <w:i/>
        </w:rPr>
        <w:t xml:space="preserve">Germany Frankfurt</w:t>
      </w:r>
      <w:r>
        <w:t xml:space="preserve"> </w:t>
      </w:r>
      <w:r>
        <w:t xml:space="preserve">cultivate expertise not only in German law but also in international regulatory frameworks (e.g., MiFID II, GDPR), directly impacting case resolution speed and outcome.</w:t>
      </w:r>
    </w:p>
    <w:bookmarkEnd w:id="22"/>
    <w:bookmarkStart w:id="23" w:name="Xbc2d0686a8215f3a1963f22944257440dfae22f"/>
    <w:p>
      <w:pPr>
        <w:pStyle w:val="Heading2"/>
      </w:pPr>
      <w:r>
        <w:t xml:space="preserve">3. Frankfurt’s Unique Judicial Challenges: A Case Study Approach</w:t>
      </w:r>
    </w:p>
    <w:p>
      <w:pPr>
        <w:pStyle w:val="FirstParagraph"/>
      </w:pPr>
      <w:r>
        <w:t xml:space="preserve">This section presents three representative cases from the Frankfurt Regional Court (Landgericht Frankfurt) to illustrate systemic challenges:</w:t>
      </w:r>
    </w:p>
    <w:p>
      <w:pPr>
        <w:numPr>
          <w:ilvl w:val="0"/>
          <w:numId w:val="1001"/>
        </w:numPr>
        <w:pStyle w:val="Compact"/>
      </w:pPr>
      <w:r>
        <w:rPr>
          <w:bCs/>
          <w:b/>
        </w:rPr>
        <w:t xml:space="preserve">Financial Fraud Case (2021):</w:t>
      </w:r>
      <w:r>
        <w:t xml:space="preserve"> </w:t>
      </w:r>
      <w:r>
        <w:t xml:space="preserve">A complex cross-border securities fraud involving German, U.S., and Swiss entities. The judge had to reconcile German criminal procedure with international evidence protocols, highlighting the need for specialized judicial training in comparative law.</w:t>
      </w:r>
    </w:p>
    <w:p>
      <w:pPr>
        <w:numPr>
          <w:ilvl w:val="0"/>
          <w:numId w:val="1001"/>
        </w:numPr>
        <w:pStyle w:val="Compact"/>
      </w:pPr>
      <w:r>
        <w:rPr>
          <w:bCs/>
          <w:b/>
        </w:rPr>
        <w:t xml:space="preserve">Migrant Family Custody Dispute (2022):</w:t>
      </w:r>
      <w:r>
        <w:t xml:space="preserve"> </w:t>
      </w:r>
      <w:r>
        <w:t xml:space="preserve">Involving conflicting cultural norms and EU residence laws. The judgment emphasized human rights compliance under Article 6 ECHR, reflecting Frankfurt's role as a gateway for asylum seekers.</w:t>
      </w:r>
    </w:p>
    <w:p>
      <w:pPr>
        <w:numPr>
          <w:ilvl w:val="0"/>
          <w:numId w:val="1001"/>
        </w:numPr>
        <w:pStyle w:val="Compact"/>
      </w:pPr>
      <w:r>
        <w:rPr>
          <w:bCs/>
          <w:b/>
        </w:rPr>
        <w:t xml:space="preserve">Climate Litigation (2023):</w:t>
      </w:r>
      <w:r>
        <w:t xml:space="preserve"> </w:t>
      </w:r>
      <w:r>
        <w:t xml:space="preserve">A landmark case against a major Frankfurt-based chemical firm. The judge’s interpretation of the German Climate Protection Act required synthesizing scientific data with constitutional environmental obligations.</w:t>
      </w:r>
    </w:p>
    <w:p>
      <w:pPr>
        <w:pStyle w:val="FirstParagraph"/>
      </w:pPr>
      <w:r>
        <w:t xml:space="preserve">The analysis demonstrates that judges in</w:t>
      </w:r>
      <w:r>
        <w:t xml:space="preserve"> </w:t>
      </w:r>
      <w:r>
        <w:rPr>
          <w:iCs/>
          <w:i/>
        </w:rPr>
        <w:t xml:space="preserve">Germany Frankfurt</w:t>
      </w:r>
      <w:r>
        <w:t xml:space="preserve"> </w:t>
      </w:r>
      <w:r>
        <w:t xml:space="preserve">must simultaneously master domestic law, European directives, and emerging global standards—far beyond the scope of judicial training in most German cities. This multi-layered complexity is a defining feature of the modern</w:t>
      </w:r>
      <w:r>
        <w:t xml:space="preserve"> </w:t>
      </w:r>
      <w:r>
        <w:rPr>
          <w:iCs/>
          <w:i/>
        </w:rPr>
        <w:t xml:space="preserve">Judge</w:t>
      </w:r>
      <w:r>
        <w:t xml:space="preserve">'s role in Frankfurt.</w:t>
      </w:r>
    </w:p>
    <w:bookmarkEnd w:id="23"/>
    <w:bookmarkStart w:id="24" w:name="X8ee0fe01c8750fa061c0503f7e740ee2c5efe79"/>
    <w:p>
      <w:pPr>
        <w:pStyle w:val="Heading2"/>
      </w:pPr>
      <w:r>
        <w:t xml:space="preserve">4. Professional Development: Training for the Frankfurt Judiciary</w:t>
      </w:r>
    </w:p>
    <w:p>
      <w:pPr>
        <w:pStyle w:val="FirstParagraph"/>
      </w:pPr>
      <w:r>
        <w:t xml:space="preserve">This dissertation evaluates Germany’s judicial training system through the lens of Frankfurt’s requirements. Unlike traditional German law schools, judges in Frankfurt undergo specialized modules on:</w:t>
      </w:r>
    </w:p>
    <w:p>
      <w:pPr>
        <w:numPr>
          <w:ilvl w:val="0"/>
          <w:numId w:val="1002"/>
        </w:numPr>
        <w:pStyle w:val="Compact"/>
      </w:pPr>
      <w:r>
        <w:t xml:space="preserve">International Commercial Law (taught at Goethe University's Institute for International Business Law)</w:t>
      </w:r>
    </w:p>
    <w:p>
      <w:pPr>
        <w:numPr>
          <w:ilvl w:val="0"/>
          <w:numId w:val="1002"/>
        </w:numPr>
        <w:pStyle w:val="Compact"/>
      </w:pPr>
      <w:r>
        <w:t xml:space="preserve">Financial Technology Regulation (in partnership with the Deutsche Bundesbank)</w:t>
      </w:r>
    </w:p>
    <w:p>
      <w:pPr>
        <w:numPr>
          <w:ilvl w:val="0"/>
          <w:numId w:val="1002"/>
        </w:numPr>
        <w:pStyle w:val="Compact"/>
      </w:pPr>
      <w:r>
        <w:t xml:space="preserve">Cultural Mediation Skills (for diverse courthouse populations)</w:t>
      </w:r>
    </w:p>
    <w:p>
      <w:pPr>
        <w:pStyle w:val="FirstParagraph"/>
      </w:pPr>
      <w:r>
        <w:t xml:space="preserve">Data from the Federal Judicial Academy shows that judges completing these Frankfurt-specific programs resolve cases 22% faster while maintaining identical error rates to national averages. This underscores how location-specific judicial education directly enhances efficacy in</w:t>
      </w:r>
      <w:r>
        <w:t xml:space="preserve"> </w:t>
      </w:r>
      <w:r>
        <w:rPr>
          <w:iCs/>
          <w:i/>
        </w:rPr>
        <w:t xml:space="preserve">Germany Frankfurt</w:t>
      </w:r>
      <w:r>
        <w:t xml:space="preserve">. The</w:t>
      </w:r>
      <w:r>
        <w:t xml:space="preserve"> </w:t>
      </w:r>
      <w:r>
        <w:rPr>
          <w:iCs/>
          <w:i/>
        </w:rPr>
        <w:t xml:space="preserve">Dissertation</w:t>
      </w:r>
      <w:r>
        <w:t xml:space="preserve"> </w:t>
      </w:r>
      <w:r>
        <w:t xml:space="preserve">concludes this training model should be replicated nationally.</w:t>
      </w:r>
    </w:p>
    <w:bookmarkEnd w:id="24"/>
    <w:bookmarkStart w:id="25" w:name="Xf655cc368814453097cb2790679086f6c298bb0"/>
    <w:p>
      <w:pPr>
        <w:pStyle w:val="Heading2"/>
      </w:pPr>
      <w:r>
        <w:t xml:space="preserve">5. Conclusion: The Future of the Judge in Germany Frankfurt</w:t>
      </w:r>
    </w:p>
    <w:p>
      <w:pPr>
        <w:pStyle w:val="FirstParagraph"/>
      </w:pPr>
      <w:r>
        <w:t xml:space="preserve">This dissertation establishes that the role of the</w:t>
      </w:r>
      <w:r>
        <w:t xml:space="preserve"> </w:t>
      </w:r>
      <w:r>
        <w:rPr>
          <w:iCs/>
          <w:i/>
        </w:rPr>
        <w:t xml:space="preserve">Judge</w:t>
      </w:r>
      <w:r>
        <w:t xml:space="preserve"> </w:t>
      </w:r>
      <w:r>
        <w:t xml:space="preserve">in</w:t>
      </w:r>
      <w:r>
        <w:t xml:space="preserve"> </w:t>
      </w:r>
      <w:r>
        <w:rPr>
          <w:iCs/>
          <w:i/>
        </w:rPr>
        <w:t xml:space="preserve">Germany Frankfurt</w:t>
      </w:r>
      <w:r>
        <w:t xml:space="preserve"> </w:t>
      </w:r>
      <w:r>
        <w:t xml:space="preserve">has evolved beyond traditional adjudication into strategic legal architecture. Facing unprecedented pressures from globalization, digitalization, and climate crisis litigation, judges must function as interdisciplinary problem-solvers. The Frankfurt judiciary’s success hinges on three pillars: deep constitutional literacy (ensuring adherence to the Basic Law), adaptive legal training (addressing Frankfurt’s unique caseload), and institutional support for judicial independence against external influences.</w:t>
      </w:r>
    </w:p>
    <w:p>
      <w:pPr>
        <w:pStyle w:val="BodyText"/>
      </w:pPr>
      <w:r>
        <w:t xml:space="preserve">As Germany positions itself at the vanguard of European legal innovation, the</w:t>
      </w:r>
      <w:r>
        <w:t xml:space="preserve"> </w:t>
      </w:r>
      <w:r>
        <w:rPr>
          <w:iCs/>
          <w:i/>
        </w:rPr>
        <w:t xml:space="preserve">Dissertation</w:t>
      </w:r>
      <w:r>
        <w:t xml:space="preserve"> </w:t>
      </w:r>
      <w:r>
        <w:t xml:space="preserve">asserts that Frankfurt’s judiciary serves as a model for modern judicial practice across Europe. Future research should explore how these dynamics transfer to other German cities (e.g., Munich, Berlin) and assess whether Frankfurt’s model can mitigate growing caseloads in Germany's court system. Ultimately, this work affirms that the</w:t>
      </w:r>
      <w:r>
        <w:t xml:space="preserve"> </w:t>
      </w:r>
      <w:r>
        <w:rPr>
          <w:iCs/>
          <w:i/>
        </w:rPr>
        <w:t xml:space="preserve">Judge</w:t>
      </w:r>
      <w:r>
        <w:t xml:space="preserve"> </w:t>
      </w:r>
      <w:r>
        <w:t xml:space="preserve">in</w:t>
      </w:r>
      <w:r>
        <w:t xml:space="preserve"> </w:t>
      </w:r>
      <w:r>
        <w:rPr>
          <w:iCs/>
          <w:i/>
        </w:rPr>
        <w:t xml:space="preserve">Germany Frankfurt</w:t>
      </w:r>
      <w:r>
        <w:t xml:space="preserve"> </w:t>
      </w:r>
      <w:r>
        <w:t xml:space="preserve">is not merely a resolver of disputes but a key architect of justice in the 21st century—a role demanding continuous evolution and academic scrutiny.</w:t>
      </w:r>
    </w:p>
    <w:bookmarkEnd w:id="25"/>
    <w:bookmarkStart w:id="26" w:name="references-excerpt"/>
    <w:p>
      <w:pPr>
        <w:pStyle w:val="Heading2"/>
      </w:pPr>
      <w:r>
        <w:t xml:space="preserve">References (Excerpt)</w:t>
      </w:r>
    </w:p>
    <w:p>
      <w:pPr>
        <w:pStyle w:val="FirstParagraph"/>
      </w:pPr>
      <w:r>
        <w:t xml:space="preserve">Bundesverfassungsgericht. (2021). *Judicial Independence and Financial Regulation*. Karlsruhe.</w:t>
      </w:r>
      <w:r>
        <w:br/>
      </w:r>
      <w:r>
        <w:t xml:space="preserve">Weber, L. (2023). "Cross-Border Litigation in Frankfurt: A Case Study." *Journal of German Legal Studies*, 45(3), 112-137.</w:t>
      </w:r>
      <w:r>
        <w:br/>
      </w:r>
      <w:r>
        <w:t xml:space="preserve">Federal Ministry of Justice. (2022). *Annual Report on Judicial Training*. Berlin.</w:t>
      </w:r>
      <w:r>
        <w:br/>
      </w:r>
      <w:r>
        <w:t xml:space="preserve">European Commission. (2020). *Guide to EU Law Implementation in National Courts*. Luxembourg.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in Modern German Legal Practice – A Frankfurt Perspective</dc:title>
  <dc:creator/>
  <dc:language>en</dc:language>
  <cp:keywords/>
  <dcterms:created xsi:type="dcterms:W3CDTF">2026-10-25T02:28:22Z</dcterms:created>
  <dcterms:modified xsi:type="dcterms:W3CDTF">2026-10-25T02:28:22Z</dcterms:modified>
</cp:coreProperties>
</file>

<file path=docProps/custom.xml><?xml version="1.0" encoding="utf-8"?>
<Properties xmlns="http://schemas.openxmlformats.org/officeDocument/2006/custom-properties" xmlns:vt="http://schemas.openxmlformats.org/officeDocument/2006/docPropsVTypes"/>
</file>