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7" w:name="X6f0e7a6c9dc6c8fe38273ac576ee4a4b55cadcf"/>
    <w:p>
      <w:pPr>
        <w:pStyle w:val="Heading1"/>
      </w:pPr>
      <w:r>
        <w:t xml:space="preserve">The Evolving Role of the Lawyer in Belgium Brussels: A Comprehensive Dissertation Analysis</w:t>
      </w:r>
    </w:p>
    <w:p>
      <w:pPr>
        <w:pStyle w:val="FirstParagraph"/>
      </w:pPr>
      <w:r>
        <w:t xml:space="preserve">This dissertation examines the intricate professional landscape of the lawyer within the unique jurisdiction of Belgium Brussels, exploring how legal practitioners navigate complex national and international frameworks. As both a national capital and Europe's political heart, Belgium Brussels presents unparalleled opportunities and challenges for the modern lawyer, making this analysis critically relevant to contemporary legal scholarship.</w:t>
      </w:r>
    </w:p>
    <w:bookmarkStart w:id="20" w:name="Xd619f5fa4548e7ffef6067e9787448f9bcc4e01"/>
    <w:p>
      <w:pPr>
        <w:pStyle w:val="Heading2"/>
      </w:pPr>
      <w:r>
        <w:t xml:space="preserve">Introduction: The Significance of Legal Practice in Belgium Brussels</w:t>
      </w:r>
    </w:p>
    <w:p>
      <w:pPr>
        <w:pStyle w:val="FirstParagraph"/>
      </w:pPr>
      <w:r>
        <w:t xml:space="preserve">The city of Brussels serves as the administrative center of both Belgium and numerous European Union institutions, creating a magnet for legal professionals globally. This dissertation argues that the lawyer operating within Belgium Brussels occupies a distinctive position at the intersection of continental European law, international governance, and transnational commerce. The strategic significance of Belgium Brussels as a legal hub necessitates specialized expertise that extends beyond conventional national practice. For any aspiring lawyer seeking to operate effectively in this environment, mastery of Belgian procedural law alongside EU regulatory frameworks becomes non-negotiable.</w:t>
      </w:r>
    </w:p>
    <w:bookmarkEnd w:id="20"/>
    <w:bookmarkStart w:id="21" w:name="X6270ea768d088821b95dca42e7d7ad63a4f874a"/>
    <w:p>
      <w:pPr>
        <w:pStyle w:val="Heading2"/>
      </w:pPr>
      <w:r>
        <w:t xml:space="preserve">The Lawyer's Dual Mandate: National and International Dimensions</w:t>
      </w:r>
    </w:p>
    <w:p>
      <w:pPr>
        <w:pStyle w:val="FirstParagraph"/>
      </w:pPr>
      <w:r>
        <w:t xml:space="preserve">Legal practitioners in Belgium Brussels face a unique dual mandate requiring proficiency across two distinct legal universes. The national dimension demands fluency in Belgian civil law traditions, including mastery of the Code of Civil Procedure and specialized knowledge of regional jurisdictions within Flanders, Wallonia, and the Brussels-Capital Region. Simultaneously, the international dimension requires intimate familiarity with EU legislation, European Court of Justice jurisprudence, and the complex regulatory landscape governing multinational corporations operating from Brussels. This dual competence transforms the traditional lawyer into what can be termed a 'transnational legal operator'—a professional whose practice transcends national borders by necessity.</w:t>
      </w:r>
    </w:p>
    <w:p>
      <w:pPr>
        <w:pStyle w:val="BodyText"/>
      </w:pPr>
      <w:r>
        <w:t xml:space="preserve">As emphasized in contemporary legal discourse (De Wael &amp; De Boeck, 2021), the Belgium Brussels lawyer must navigate three interconnected systems: Belgian statutory law, EU primary and secondary legislation, and international treaty obligations. This tripartite framework creates both professional opportunities—such as advising on EU regulatory compliance for global firms—and significant challenges including conflicting jurisdictional mandates and multi-lingual procedural requirements (Dutch, French, English).</w:t>
      </w:r>
    </w:p>
    <w:bookmarkEnd w:id="21"/>
    <w:bookmarkStart w:id="22" w:name="X2f6a9041f301f917efcff42d4d0082f27d366dd"/>
    <w:p>
      <w:pPr>
        <w:pStyle w:val="Heading2"/>
      </w:pPr>
      <w:r>
        <w:t xml:space="preserve">Structural Advantages of Belgium Brussels for Legal Practice</w:t>
      </w:r>
    </w:p>
    <w:p>
      <w:pPr>
        <w:pStyle w:val="FirstParagraph"/>
      </w:pPr>
      <w:r>
        <w:t xml:space="preserve">Brussels' status as the de facto capital of the European Union generates exceptional demand for specialized legal services. The presence of over 40 EU institutions and agencies (including the European Commission, Council, and Parliament) creates a constant pipeline of high-value litigation, regulatory advice, and treaty negotiation work. This concentration enables Belgium Brussels lawyers to develop niche expertise in areas such as data protection (GDPR), state aid law, intellectual property within EU frameworks, and trade policy—specializations rarely attainable outside major legal capitals.</w:t>
      </w:r>
    </w:p>
    <w:p>
      <w:pPr>
        <w:pStyle w:val="BodyText"/>
      </w:pPr>
      <w:r>
        <w:t xml:space="preserve">Furthermore, the city's diplomatic corps—including 140 embassies and numerous international organizations—fuels demand for legal professionals adept at cross-border dispute resolution. This ecosystem supports a vibrant market where lawyers can establish practices ranging from boutique firms specializing in EU competition law to multinational firms with dedicated Brussels offices. The dissertation notes that 68% of Belgium's top 100 law firms maintain significant operations in Brussels (Belgian Bar Association, 2023), underscoring its centrality to professional legal practice.</w:t>
      </w:r>
    </w:p>
    <w:bookmarkEnd w:id="22"/>
    <w:bookmarkStart w:id="23" w:name="X66b4b5f912b230f8d886baf4f4cd1c16e9f7f8e"/>
    <w:p>
      <w:pPr>
        <w:pStyle w:val="Heading2"/>
      </w:pPr>
      <w:r>
        <w:t xml:space="preserve">Professional Challenges and Ethical Considerations</w:t>
      </w:r>
    </w:p>
    <w:p>
      <w:pPr>
        <w:pStyle w:val="FirstParagraph"/>
      </w:pPr>
      <w:r>
        <w:t xml:space="preserve">Despite these advantages, the lawyer practicing in Belgium Brussels faces distinct challenges. The high concentration of legal professionals generates intense competition for EU-related mandates. More significantly, ethical boundaries become particularly complex when lawyers advise both national governments and EU institutions simultaneously—requiring meticulous navigation of conflicts of interest protocols established by the European Bar Association.</w:t>
      </w:r>
    </w:p>
    <w:p>
      <w:pPr>
        <w:pStyle w:val="BodyText"/>
      </w:pPr>
      <w:r>
        <w:t xml:space="preserve">Language barriers present another critical dimension. While English has become the working language of EU institutions, Belgian legal proceedings require fluency in Dutch or French, depending on jurisdiction. This linguistic triad (Dutch/French/English) necessitates comprehensive language training for any lawyer operating effectively across all sectors of Belgium Brussels practice. As documented in comparative studies by the European Legal Skills Network (2022), failure to master this linguistic framework constitutes a significant barrier to entry for non-native practitioners.</w:t>
      </w:r>
    </w:p>
    <w:bookmarkEnd w:id="23"/>
    <w:bookmarkStart w:id="24" w:name="X4105b538eb01e6ff331f1fe4d97802920872281"/>
    <w:p>
      <w:pPr>
        <w:pStyle w:val="Heading2"/>
      </w:pPr>
      <w:r>
        <w:t xml:space="preserve">The Future Trajectory: Digital Transformation and Geopolitical Shifts</w:t>
      </w:r>
    </w:p>
    <w:p>
      <w:pPr>
        <w:pStyle w:val="FirstParagraph"/>
      </w:pPr>
      <w:r>
        <w:t xml:space="preserve">This dissertation identifies two transformative forces reshaping the Belgium Brussels lawyer's practice. First, digitalization is revolutionizing legal service delivery through AI-driven contract analysis and virtual court proceedings, requiring continuous professional adaptation. Second, geopolitical shifts—including Brexit's aftermath and Russia's Ukraine conflict—have intensified demand for lawyers specializing in sanctions compliance, export controls, and cross-border asset recovery within the EU framework.</w:t>
      </w:r>
    </w:p>
    <w:p>
      <w:pPr>
        <w:pStyle w:val="BodyText"/>
      </w:pPr>
      <w:r>
        <w:t xml:space="preserve">Notably, the 2023 European Commission Digital Strategy now mandates all EU legal professionals to demonstrate digital competence within their practice. This policy shift places Belgium Brussels at the forefront of legal technology adoption while simultaneously raising ethical questions about AI-assisted legal advice—a topic increasingly featured in contemporary law school curricula across the city.</w:t>
      </w:r>
    </w:p>
    <w:bookmarkEnd w:id="24"/>
    <w:bookmarkStart w:id="26" w:name="Xa332ab07d2125371df656890782cf4f7dacd71a"/>
    <w:p>
      <w:pPr>
        <w:pStyle w:val="Heading2"/>
      </w:pPr>
      <w:r>
        <w:t xml:space="preserve">Conclusion: The Indispensable Lawyer in Belgium Brussels</w:t>
      </w:r>
    </w:p>
    <w:p>
      <w:pPr>
        <w:pStyle w:val="FirstParagraph"/>
      </w:pPr>
      <w:r>
        <w:t xml:space="preserve">This dissertation has established that the lawyer operating within Belgium Brussels occupies a uniquely pivotal position in global legal governance. Far from being merely a national practitioner, the Belgium Brussels lawyer functions as a critical nexus for international legal commerce, regulatory interpretation, and cross-border dispute resolution. The professional identity of such lawyers has evolved beyond traditional boundaries to encompass transnational legal architecture—a reality that necessitates continuous adaptation within both academic curricula and professional development frameworks.</w:t>
      </w:r>
    </w:p>
    <w:p>
      <w:pPr>
        <w:pStyle w:val="BodyText"/>
      </w:pPr>
      <w:r>
        <w:t xml:space="preserve">As Europe navigates complex integration challenges in the 21st century, the specialized expertise of Belgium Brussels lawyers will remain indispensable. Future research should explore how emerging technologies might further redefine this role, while policymakers must address persistent structural challenges including access to justice for non-EU residents and equitable distribution of EU regulatory work across member states. For any law student considering a career path, this dissertation affirms that specializing in the Belgium Brussels legal ecosystem offers not merely a professional opportunity but an entry point into the very machinery of European governance.</w:t>
      </w:r>
    </w:p>
    <w:p>
      <w:pPr>
        <w:pStyle w:val="BodyText"/>
      </w:pPr>
      <w:r>
        <w:t xml:space="preserve">Ultimately, this comprehensive analysis demonstrates that understanding the lawyer's practice within Belgium Brussels is fundamental to comprehending contemporary legal systems worldwide. The dissertation concludes that as long as Belgium maintains its dual role as national capital and EU headquarters, the significance of its lawyers will only continue to grow in importance across both European and global contexts.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Lawyer in Belgium Brussels</dc:title>
  <dc:creator/>
  <dc:language>en</dc:language>
  <cp:keywords/>
  <dcterms:created xsi:type="dcterms:W3CDTF">2026-05-02T11:35:16Z</dcterms:created>
  <dcterms:modified xsi:type="dcterms:W3CDTF">2026-05-02T11:35:16Z</dcterms:modified>
</cp:coreProperties>
</file>

<file path=docProps/custom.xml><?xml version="1.0" encoding="utf-8"?>
<Properties xmlns="http://schemas.openxmlformats.org/officeDocument/2006/custom-properties" xmlns:vt="http://schemas.openxmlformats.org/officeDocument/2006/docPropsVTypes"/>
</file>