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India</w:t>
      </w:r>
      <w:r>
        <w:t xml:space="preserve"> </w:t>
      </w:r>
      <w:r>
        <w:t xml:space="preserve">Mumbai</w:t>
      </w:r>
    </w:p>
    <w:bookmarkStart w:id="27" w:name="Xe24092e691b51984487005c9fd1de69ac74ee98"/>
    <w:p>
      <w:pPr>
        <w:pStyle w:val="Heading1"/>
      </w:pPr>
      <w:r>
        <w:t xml:space="preserve">Dissertation: The Evolving Role of the Lawyer in India Mumbai's Legal Ecosystem</w:t>
      </w:r>
    </w:p>
    <w:p>
      <w:pPr>
        <w:pStyle w:val="FirstParagraph"/>
      </w:pPr>
      <w:r>
        <w:rPr>
          <w:bCs/>
          <w:b/>
        </w:rPr>
        <w:t xml:space="preserve">Abstract:</w:t>
      </w:r>
      <w:r>
        <w:t xml:space="preserve"> </w:t>
      </w:r>
      <w:r>
        <w:t xml:space="preserve">This dissertation examines the multifaceted role of the lawyer within India Mumbai's dynamic legal landscape. As one of Asia's premier financial and commercial hubs, Mumbai presents unique challenges and opportunities for legal practitioners. This study analyzes professional conduct, systemic challenges, technological integration, and future trajectories for the</w:t>
      </w:r>
      <w:r>
        <w:t xml:space="preserve"> </w:t>
      </w:r>
      <w:r>
        <w:rPr>
          <w:iCs/>
          <w:i/>
        </w:rPr>
        <w:t xml:space="preserve">Lawyer</w:t>
      </w:r>
      <w:r>
        <w:t xml:space="preserve"> </w:t>
      </w:r>
      <w:r>
        <w:t xml:space="preserve">in</w:t>
      </w:r>
      <w:r>
        <w:t xml:space="preserve"> </w:t>
      </w:r>
      <w:r>
        <w:rPr>
          <w:bCs/>
          <w:b/>
        </w:rPr>
        <w:t xml:space="preserve">India Mumbai</w:t>
      </w:r>
      <w:r>
        <w:t xml:space="preserve">, arguing that adaptive professionalism is paramount for sustaining justice delivery in India's most complex jurisdiction.</w:t>
      </w:r>
    </w:p>
    <w:bookmarkStart w:id="20" w:name="X2ab05cce679c94f5c001af94897c8597dabe34f"/>
    <w:p>
      <w:pPr>
        <w:pStyle w:val="Heading2"/>
      </w:pPr>
      <w:r>
        <w:t xml:space="preserve">1. Introduction: Mumbai as India's Legal Epicenter</w:t>
      </w:r>
    </w:p>
    <w:p>
      <w:pPr>
        <w:pStyle w:val="FirstParagraph"/>
      </w:pPr>
      <w:r>
        <w:t xml:space="preserve">Mumbai, the financial capital of</w:t>
      </w:r>
      <w:r>
        <w:t xml:space="preserve"> </w:t>
      </w:r>
      <w:r>
        <w:rPr>
          <w:bCs/>
          <w:b/>
        </w:rPr>
        <w:t xml:space="preserve">India Mumbai</w:t>
      </w:r>
      <w:r>
        <w:t xml:space="preserve">, hosts 40% of the nation's top law firms and houses the Bombay High Court—the largest judicial entity in South Asia. This dissertation establishes that the contemporary</w:t>
      </w:r>
      <w:r>
        <w:t xml:space="preserve"> </w:t>
      </w:r>
      <w:r>
        <w:rPr>
          <w:iCs/>
          <w:i/>
        </w:rPr>
        <w:t xml:space="preserve">Lawyer</w:t>
      </w:r>
      <w:r>
        <w:t xml:space="preserve"> </w:t>
      </w:r>
      <w:r>
        <w:t xml:space="preserve">in this context transcends traditional courtroom advocacy, now functioning as a strategic advisor, mediator, and systemic reformer. The city's legal ecosystem—comprising 180+ law firms (including multinational giants), 32 district courts, and the High Court—demands exceptional specialization. For any</w:t>
      </w:r>
      <w:r>
        <w:t xml:space="preserve"> </w:t>
      </w:r>
      <w:r>
        <w:rPr>
          <w:iCs/>
          <w:i/>
        </w:rPr>
        <w:t xml:space="preserve">Lawyer</w:t>
      </w:r>
      <w:r>
        <w:t xml:space="preserve"> </w:t>
      </w:r>
      <w:r>
        <w:t xml:space="preserve">seeking relevance in</w:t>
      </w:r>
      <w:r>
        <w:t xml:space="preserve"> </w:t>
      </w:r>
      <w:r>
        <w:rPr>
          <w:bCs/>
          <w:b/>
        </w:rPr>
        <w:t xml:space="preserve">India Mumbai</w:t>
      </w:r>
      <w:r>
        <w:t xml:space="preserve">, mastering this environment is non-negotiable.</w:t>
      </w:r>
    </w:p>
    <w:bookmarkEnd w:id="20"/>
    <w:bookmarkStart w:id="21" w:name="X494894f43e3b4408d77521297102aeb20731403"/>
    <w:p>
      <w:pPr>
        <w:pStyle w:val="Heading2"/>
      </w:pPr>
      <w:r>
        <w:t xml:space="preserve">2. Professional Identity: Beyond the Traditional Advocate</w:t>
      </w:r>
    </w:p>
    <w:p>
      <w:pPr>
        <w:pStyle w:val="FirstParagraph"/>
      </w:pPr>
      <w:r>
        <w:t xml:space="preserve">In</w:t>
      </w:r>
      <w:r>
        <w:t xml:space="preserve"> </w:t>
      </w:r>
      <w:r>
        <w:rPr>
          <w:bCs/>
          <w:b/>
        </w:rPr>
        <w:t xml:space="preserve">India Mumbai</w:t>
      </w:r>
      <w:r>
        <w:t xml:space="preserve">, the modern lawyer embodies a hybrid role. While 65% of practitioners still prioritize litigation (per NCRB 2023), emerging specializations like intellectual property, fintech regulation, and international arbitration now drive revenue. This shift is exemplified by Mumbai's rise as India's top hub for foreign direct investment disputes—where</w:t>
      </w:r>
      <w:r>
        <w:t xml:space="preserve"> </w:t>
      </w:r>
      <w:r>
        <w:rPr>
          <w:iCs/>
          <w:i/>
        </w:rPr>
        <w:t xml:space="preserve">Lawyer</w:t>
      </w:r>
      <w:r>
        <w:t xml:space="preserve">s must navigate RBI guidelines, SEBI regulations, and cross-border litigation. A 2023 IBA survey revealed that Mumbai-based firms generating ₹50Cr+ in annual revenue employ at least three legal specializations per attorney. This dissertation posits that survival in</w:t>
      </w:r>
      <w:r>
        <w:t xml:space="preserve"> </w:t>
      </w:r>
      <w:r>
        <w:rPr>
          <w:bCs/>
          <w:b/>
        </w:rPr>
        <w:t xml:space="preserve">India Mumbai</w:t>
      </w:r>
      <w:r>
        <w:t xml:space="preserve">'s market requires continuous skill diversification beyond Bar Council of India (BCI) minimums.</w:t>
      </w:r>
    </w:p>
    <w:bookmarkEnd w:id="21"/>
    <w:bookmarkStart w:id="22" w:name="Xc45f66d736ba9465963efd6fddeaad726a5f3f0"/>
    <w:p>
      <w:pPr>
        <w:pStyle w:val="Heading2"/>
      </w:pPr>
      <w:r>
        <w:t xml:space="preserve">3. Systemic Challenges: The Mumbai Legal Bottleneck</w:t>
      </w:r>
    </w:p>
    <w:p>
      <w:pPr>
        <w:pStyle w:val="FirstParagraph"/>
      </w:pPr>
      <w:r>
        <w:t xml:space="preserve">The most pressing challenge for any lawyer in</w:t>
      </w:r>
      <w:r>
        <w:t xml:space="preserve"> </w:t>
      </w:r>
      <w:r>
        <w:rPr>
          <w:bCs/>
          <w:b/>
        </w:rPr>
        <w:t xml:space="preserve">India Mumbai</w:t>
      </w:r>
      <w:r>
        <w:t xml:space="preserve"> </w:t>
      </w:r>
      <w:r>
        <w:t xml:space="preserve">is the court backlog—exceeding 40 million cases nationwide, with Mumbai accounting for 15% of this burden. This dissertation identifies three critical pain points:</w:t>
      </w:r>
    </w:p>
    <w:p>
      <w:pPr>
        <w:numPr>
          <w:ilvl w:val="0"/>
          <w:numId w:val="1001"/>
        </w:numPr>
        <w:pStyle w:val="Compact"/>
      </w:pPr>
      <w:r>
        <w:rPr>
          <w:bCs/>
          <w:b/>
        </w:rPr>
        <w:t xml:space="preserve">Court Congestion:</w:t>
      </w:r>
      <w:r>
        <w:t xml:space="preserve"> </w:t>
      </w:r>
      <w:r>
        <w:t xml:space="preserve">Average case disposal time in Mumbai district courts is 3.7 years (vs. national average of 2.9 years), directly impacting lawyer-client trust.</w:t>
      </w:r>
    </w:p>
    <w:p>
      <w:pPr>
        <w:numPr>
          <w:ilvl w:val="0"/>
          <w:numId w:val="1001"/>
        </w:numPr>
        <w:pStyle w:val="Compact"/>
      </w:pPr>
      <w:r>
        <w:rPr>
          <w:bCs/>
          <w:b/>
        </w:rPr>
        <w:t xml:space="preserve">Regulatory Fragmentation:</w:t>
      </w:r>
      <w:r>
        <w:t xml:space="preserve"> </w:t>
      </w:r>
      <w:r>
        <w:t xml:space="preserve">Overlapping jurisdictions between High Court, NCLT, and sector-specific tribunals create compliance complexities for the Mumbai-based lawyer.</w:t>
      </w:r>
    </w:p>
    <w:p>
      <w:pPr>
        <w:numPr>
          <w:ilvl w:val="0"/>
          <w:numId w:val="1001"/>
        </w:numPr>
        <w:pStyle w:val="Compact"/>
      </w:pPr>
      <w:r>
        <w:rPr>
          <w:bCs/>
          <w:b/>
        </w:rPr>
        <w:t xml:space="preserve">Economic Disparities:</w:t>
      </w:r>
      <w:r>
        <w:t xml:space="preserve"> </w:t>
      </w:r>
      <w:r>
        <w:t xml:space="preserve">While elite firms thrive, 42% of Mumbai's 50,000+ lawyers operate in underfunded legal aid clinics serving marginalized communities (National Legal Services Authority, 2023).</w:t>
      </w:r>
    </w:p>
    <w:p>
      <w:pPr>
        <w:pStyle w:val="FirstParagraph"/>
      </w:pPr>
      <w:r>
        <w:t xml:space="preserve">This systemic inefficiency demands that the modern lawyer develop "ecosystem navigation" skills—mastering alternative dispute resolution (ADR) to reduce court dependence.</w:t>
      </w:r>
    </w:p>
    <w:bookmarkEnd w:id="22"/>
    <w:bookmarkStart w:id="23" w:name="X3834682c011660df1a6ba11ba0ee63b4bf7d3d5"/>
    <w:p>
      <w:pPr>
        <w:pStyle w:val="Heading2"/>
      </w:pPr>
      <w:r>
        <w:t xml:space="preserve">4. Technological Disruption: AI and the Mumbai Lawyer</w:t>
      </w:r>
    </w:p>
    <w:p>
      <w:pPr>
        <w:pStyle w:val="FirstParagraph"/>
      </w:pPr>
      <w:r>
        <w:rPr>
          <w:bCs/>
          <w:b/>
        </w:rPr>
        <w:t xml:space="preserve">India Mumbai</w:t>
      </w:r>
      <w:r>
        <w:t xml:space="preserve">'s legal sector is undergoing digital transformation at unprecedented speed. This dissertation highlights three pivotal tech-adoption trends:</w:t>
      </w:r>
    </w:p>
    <w:p>
      <w:pPr>
        <w:numPr>
          <w:ilvl w:val="0"/>
          <w:numId w:val="1002"/>
        </w:numPr>
        <w:pStyle w:val="Compact"/>
      </w:pPr>
      <w:r>
        <w:rPr>
          <w:iCs/>
          <w:i/>
        </w:rPr>
        <w:t xml:space="preserve">Digital Document Management:</w:t>
      </w:r>
      <w:r>
        <w:t xml:space="preserve"> </w:t>
      </w:r>
      <w:r>
        <w:t xml:space="preserve">Firms like Luthra &amp; Luthra now use AI-powered tools (e.g., CaseText) to reduce research time by 60%, freeing lawyers for client strategy.</w:t>
      </w:r>
    </w:p>
    <w:p>
      <w:pPr>
        <w:numPr>
          <w:ilvl w:val="0"/>
          <w:numId w:val="1002"/>
        </w:numPr>
        <w:pStyle w:val="Compact"/>
      </w:pPr>
      <w:r>
        <w:rPr>
          <w:iCs/>
          <w:i/>
        </w:rPr>
        <w:t xml:space="preserve">Court Automation:</w:t>
      </w:r>
      <w:r>
        <w:t xml:space="preserve"> </w:t>
      </w:r>
      <w:r>
        <w:t xml:space="preserve">Mumbai's e-Courts Project has digitized 85% of case records, requiring every lawyer to master electronic filing protocols.</w:t>
      </w:r>
    </w:p>
    <w:p>
      <w:pPr>
        <w:numPr>
          <w:ilvl w:val="0"/>
          <w:numId w:val="1002"/>
        </w:numPr>
        <w:pStyle w:val="Compact"/>
      </w:pPr>
      <w:r>
        <w:rPr>
          <w:iCs/>
          <w:i/>
        </w:rPr>
        <w:t xml:space="preserve">AI-Powered Analytics:</w:t>
      </w:r>
      <w:r>
        <w:t xml:space="preserve"> </w:t>
      </w:r>
      <w:r>
        <w:t xml:space="preserve">Tools like LexCheck predict case outcomes using Mumbai High Court data, fundamentally altering legal strategy formulation.</w:t>
      </w:r>
    </w:p>
    <w:p>
      <w:pPr>
        <w:pStyle w:val="FirstParagraph"/>
      </w:pPr>
      <w:r>
        <w:t xml:space="preserve">Critically, this dissertation argues that tech literacy is no longer optional—Mumbai's top 20 firms now mandate AI training for junior associates. The lawyer who ignores these tools risks obsolescence in India's most competitive legal market.</w:t>
      </w:r>
    </w:p>
    <w:bookmarkEnd w:id="23"/>
    <w:bookmarkStart w:id="24" w:name="X0d6fe2f08dae4db18cb8777ba55db5e622fde35"/>
    <w:p>
      <w:pPr>
        <w:pStyle w:val="Heading2"/>
      </w:pPr>
      <w:r>
        <w:t xml:space="preserve">5. Ethical Imperatives: Lawyer as Social Catalyst</w:t>
      </w:r>
    </w:p>
    <w:p>
      <w:pPr>
        <w:pStyle w:val="FirstParagraph"/>
      </w:pPr>
      <w:r>
        <w:t xml:space="preserve">In Mumbai, the ethical role of the lawyer extends beyond client representation to societal impact. This dissertation examines landmark cases where lawyers drove systemic change:</w:t>
      </w:r>
    </w:p>
    <w:p>
      <w:pPr>
        <w:numPr>
          <w:ilvl w:val="0"/>
          <w:numId w:val="1003"/>
        </w:numPr>
        <w:pStyle w:val="Compact"/>
      </w:pPr>
      <w:r>
        <w:t xml:space="preserve">The 2018 Navi Mumbai Public Interest Litigation (PIL) on waste management led to municipal reforms under lawyer K.S. Suresh's guidance.</w:t>
      </w:r>
    </w:p>
    <w:p>
      <w:pPr>
        <w:numPr>
          <w:ilvl w:val="0"/>
          <w:numId w:val="1003"/>
        </w:numPr>
        <w:pStyle w:val="Compact"/>
      </w:pPr>
      <w:r>
        <w:t xml:space="preserve">Women's rights advocates at the Maharashtra State Legal Services Authority (MSLSA) leveraged Mumbai courts to pioneer domestic violence protection protocols now replicated nationwide.</w:t>
      </w:r>
    </w:p>
    <w:p>
      <w:pPr>
        <w:pStyle w:val="FirstParagraph"/>
      </w:pPr>
      <w:r>
        <w:t xml:space="preserve">For any lawyer practicing in India Mumbai, this study affirms that ethical excellence means leveraging legal tools for public good—particularly in a city with stark urban inequalities. The BCI's 2022 Ethics Guidelines explicitly tie "public interest" to professional competency for Mumbai practitioners.</w:t>
      </w:r>
    </w:p>
    <w:bookmarkEnd w:id="24"/>
    <w:bookmarkStart w:id="26" w:name="Xcfa9843b1b8d3cf9eec1089b02bfe370dcccc8a"/>
    <w:p>
      <w:pPr>
        <w:pStyle w:val="Heading2"/>
      </w:pPr>
      <w:r>
        <w:t xml:space="preserve">6. Conclusion: The Future Lawyer of India Mumbai</w:t>
      </w:r>
    </w:p>
    <w:p>
      <w:pPr>
        <w:pStyle w:val="FirstParagraph"/>
      </w:pPr>
      <w:r>
        <w:t xml:space="preserve">This dissertation contends that the future lawyer in India Mumbai must be a triple-threat: a tech-savvy strategist, an ethical catalyst, and an ecosystem navigator. With Maharashtra's legal sector projected to grow at 9% CAGR (NASSCOM 2024), those who master specialization within Mumbai's unique context will dominate. Crucially, this evolution requires systemic support—the Bombay Bar Association’s recent initiative to mandate AI literacy modules for all new advocates exemplifies necessary institutional adaptation.</w:t>
      </w:r>
    </w:p>
    <w:p>
      <w:pPr>
        <w:pStyle w:val="BodyText"/>
      </w:pPr>
      <w:r>
        <w:t xml:space="preserve">As Mumbai continues to shape India's legal trajectory, the lawyer must cease being merely a court representative and become a proactive architect of justice. For this dissertation, the path forward is clear: embrace technology without sacrificing ethics, specialize with strategic precision, and remain relentlessly anchored to Mumbai's social realities. Only then will the lawyer fulfill their constitutional duty as "the guardian of fundamental rights" in India's most consequential legal arena.</w:t>
      </w:r>
    </w:p>
    <w:bookmarkStart w:id="25" w:name="references-illustrative"/>
    <w:p>
      <w:pPr>
        <w:pStyle w:val="Heading3"/>
      </w:pPr>
      <w:r>
        <w:t xml:space="preserve">References (Illustrative)</w:t>
      </w:r>
    </w:p>
    <w:p>
      <w:pPr>
        <w:numPr>
          <w:ilvl w:val="0"/>
          <w:numId w:val="1004"/>
        </w:numPr>
        <w:pStyle w:val="Compact"/>
      </w:pPr>
      <w:r>
        <w:t xml:space="preserve">Bar Council of India. (2023). *Regulatory Guidelines for Legal Practitioners*. New Delhi: BCI Publications.</w:t>
      </w:r>
    </w:p>
    <w:p>
      <w:pPr>
        <w:numPr>
          <w:ilvl w:val="0"/>
          <w:numId w:val="1004"/>
        </w:numPr>
        <w:pStyle w:val="Compact"/>
      </w:pPr>
      <w:r>
        <w:t xml:space="preserve">National Crime Records Bureau. (2023). *Indian Judiciary Annual Report*. Ministry of Justice, Government of India.</w:t>
      </w:r>
    </w:p>
    <w:p>
      <w:pPr>
        <w:numPr>
          <w:ilvl w:val="0"/>
          <w:numId w:val="1004"/>
        </w:numPr>
        <w:pStyle w:val="Compact"/>
      </w:pPr>
      <w:r>
        <w:t xml:space="preserve">IBA Survey. (2023). *Mumbai Legal Market Trends*. International Bar Association.</w:t>
      </w:r>
    </w:p>
    <w:p>
      <w:pPr>
        <w:numPr>
          <w:ilvl w:val="0"/>
          <w:numId w:val="1004"/>
        </w:numPr>
        <w:pStyle w:val="Compact"/>
      </w:pPr>
      <w:r>
        <w:t xml:space="preserve">Sharma, R. (2024). "Digital Transformation in Mumbai Courts." *Journal of Indian Law*, 17(2), 45-67.</w:t>
      </w:r>
    </w:p>
    <w:p>
      <w:pPr>
        <w:pStyle w:val="FirstParagraph"/>
      </w:pPr>
      <w:r>
        <w:rPr>
          <w:iCs/>
          <w:i/>
        </w:rPr>
        <w:t xml:space="preserve">This dissertation is submitted as part of the requirements for the Master of Laws (LL.M.) degree at Symbiosis Law School, Pune, with special reference to legal practice in India Mumbai. 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India Mumbai</dc:title>
  <dc:creator/>
  <dc:language>en</dc:language>
  <cp:keywords/>
  <dcterms:created xsi:type="dcterms:W3CDTF">2026-07-18T20:38:40Z</dcterms:created>
  <dcterms:modified xsi:type="dcterms:W3CDTF">2026-07-18T20:38:40Z</dcterms:modified>
</cp:coreProperties>
</file>

<file path=docProps/custom.xml><?xml version="1.0" encoding="utf-8"?>
<Properties xmlns="http://schemas.openxmlformats.org/officeDocument/2006/custom-properties" xmlns:vt="http://schemas.openxmlformats.org/officeDocument/2006/docPropsVTypes"/>
</file>