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in</w:t>
      </w:r>
      <w:r>
        <w:t xml:space="preserve"> </w:t>
      </w:r>
      <w:r>
        <w:t xml:space="preserve">Jerusalem:</w:t>
      </w:r>
      <w:r>
        <w:t xml:space="preserve"> </w:t>
      </w:r>
      <w:r>
        <w:t xml:space="preserve">Navigating</w:t>
      </w:r>
      <w:r>
        <w:t xml:space="preserve"> </w:t>
      </w:r>
      <w:r>
        <w:t xml:space="preserve">Complexity</w:t>
      </w:r>
    </w:p>
    <w:bookmarkStart w:id="26" w:name="X0ca3922d41636e3101de80ac7bcfe3915077d6a"/>
    <w:p>
      <w:pPr>
        <w:pStyle w:val="Heading1"/>
      </w:pPr>
      <w:r>
        <w:t xml:space="preserve">Academic Dissertation: The Role and Evolution of the Lawyer in Israel Jerusalem's Complex Legal Landscape</w:t>
      </w:r>
    </w:p>
    <w:p>
      <w:pPr>
        <w:pStyle w:val="FirstParagraph"/>
      </w:pPr>
      <w:r>
        <w:t xml:space="preserve">This dissertation examines the multifaceted role of the</w:t>
      </w:r>
      <w:r>
        <w:t xml:space="preserve"> </w:t>
      </w:r>
      <w:r>
        <w:rPr>
          <w:iCs/>
          <w:i/>
        </w:rPr>
        <w:t xml:space="preserve">Lawyer</w:t>
      </w:r>
      <w:r>
        <w:t xml:space="preserve"> </w:t>
      </w:r>
      <w:r>
        <w:t xml:space="preserve">within the unique legal ecosystem of Jerusalem, Israel. It explores how practitioners navigate intersecting jurisdictions, cultural dynamics, and historical complexities inherent to this city—a focal point of international significance. The research argues that effective legal practice in</w:t>
      </w:r>
      <w:r>
        <w:t xml:space="preserve"> </w:t>
      </w:r>
      <w:r>
        <w:rPr>
          <w:bCs/>
          <w:b/>
        </w:rPr>
        <w:t xml:space="preserve">Israel Jerusalem</w:t>
      </w:r>
      <w:r>
        <w:t xml:space="preserve"> </w:t>
      </w:r>
      <w:r>
        <w:t xml:space="preserve">demands not only technical mastery but also profound contextual awareness and ethical navigation of deeply layered realities.</w:t>
      </w:r>
    </w:p>
    <w:bookmarkStart w:id="20" w:name="X576f77d8b3bc2fc2e86f4cb2245c20e948982c2"/>
    <w:p>
      <w:pPr>
        <w:pStyle w:val="Heading2"/>
      </w:pPr>
      <w:r>
        <w:t xml:space="preserve">The Unique Jurisprudential Tapestry of Jerusalem</w:t>
      </w:r>
    </w:p>
    <w:p>
      <w:pPr>
        <w:pStyle w:val="FirstParagraph"/>
      </w:pPr>
      <w:r>
        <w:t xml:space="preserve">Jerusalem’s legal environment is defined by its status as the capital of Israel under Israeli law, while simultaneously being claimed by Palestinians as their future capital. This duality creates a jurisdictional landscape where Israeli civil law, religious laws (Jewish, Muslim, Christian), and international humanitarian law coexist in tension. For any</w:t>
      </w:r>
      <w:r>
        <w:t xml:space="preserve"> </w:t>
      </w:r>
      <w:r>
        <w:rPr>
          <w:iCs/>
          <w:i/>
        </w:rPr>
        <w:t xml:space="preserve">Lawyer</w:t>
      </w:r>
      <w:r>
        <w:t xml:space="preserve"> </w:t>
      </w:r>
      <w:r>
        <w:t xml:space="preserve">practicing here, understanding these layers is non-negotiable. The Israeli Supreme Court’s rulings on Jerusalem’s status—particularly its 1967 decision affirming "Jerusalem as the undivided capital of Israel"—remain central to legal strategy, yet they operate alongside UN resolutions and international consensus favoring a two-state solution with East Jerusalem as part of a Palestinian state.</w:t>
      </w:r>
    </w:p>
    <w:bookmarkEnd w:id="20"/>
    <w:bookmarkStart w:id="21" w:name="Xbba900cec6034eec8886077bca209ef96bbdf2a"/>
    <w:p>
      <w:pPr>
        <w:pStyle w:val="Heading2"/>
      </w:pPr>
      <w:r>
        <w:t xml:space="preserve">Ethical Imperatives for the Lawyer in Jerusalem</w:t>
      </w:r>
    </w:p>
    <w:p>
      <w:pPr>
        <w:pStyle w:val="FirstParagraph"/>
      </w:pPr>
      <w:r>
        <w:t xml:space="preserve">The ethical framework for a</w:t>
      </w:r>
      <w:r>
        <w:t xml:space="preserve"> </w:t>
      </w:r>
      <w:r>
        <w:rPr>
          <w:iCs/>
          <w:i/>
        </w:rPr>
        <w:t xml:space="preserve">Lawyer</w:t>
      </w:r>
      <w:r>
        <w:t xml:space="preserve"> </w:t>
      </w:r>
      <w:r>
        <w:t xml:space="preserve">operating in</w:t>
      </w:r>
      <w:r>
        <w:t xml:space="preserve"> </w:t>
      </w:r>
      <w:r>
        <w:rPr>
          <w:bCs/>
          <w:b/>
        </w:rPr>
        <w:t xml:space="preserve">Israel Jerusalem</w:t>
      </w:r>
      <w:r>
        <w:t xml:space="preserve"> </w:t>
      </w:r>
      <w:r>
        <w:t xml:space="preserve">must extend beyond standard professional conduct. This dissertation identifies three critical imperatives:</w:t>
      </w:r>
    </w:p>
    <w:p>
      <w:pPr>
        <w:numPr>
          <w:ilvl w:val="0"/>
          <w:numId w:val="1001"/>
        </w:numPr>
        <w:pStyle w:val="Compact"/>
      </w:pPr>
      <w:r>
        <w:rPr>
          <w:bCs/>
          <w:b/>
        </w:rPr>
        <w:t xml:space="preserve">Cultural Sensitivity:</w:t>
      </w:r>
      <w:r>
        <w:t xml:space="preserve"> </w:t>
      </w:r>
      <w:r>
        <w:t xml:space="preserve">Lawyers must engage with Jewish, Muslim, and Christian communities through their respective religious courts (e.g., Sharia courts for Muslims) while upholding secular law.</w:t>
      </w:r>
    </w:p>
    <w:p>
      <w:pPr>
        <w:numPr>
          <w:ilvl w:val="0"/>
          <w:numId w:val="1001"/>
        </w:numPr>
        <w:pStyle w:val="Compact"/>
      </w:pPr>
      <w:r>
        <w:rPr>
          <w:bCs/>
          <w:b/>
        </w:rPr>
        <w:t xml:space="preserve">Political Acumen:</w:t>
      </w:r>
      <w:r>
        <w:t xml:space="preserve"> </w:t>
      </w:r>
      <w:r>
        <w:t xml:space="preserve">Understanding the political undercurrents of cases involving settlement expansions, residency rights (e.g., Jerusalem Law of 1980), or heritage sites like the Old City is essential.</w:t>
      </w:r>
    </w:p>
    <w:p>
      <w:pPr>
        <w:numPr>
          <w:ilvl w:val="0"/>
          <w:numId w:val="1001"/>
        </w:numPr>
        <w:pStyle w:val="Compact"/>
      </w:pPr>
      <w:r>
        <w:rPr>
          <w:bCs/>
          <w:b/>
        </w:rPr>
        <w:t xml:space="preserve">Human Rights Vigilance:</w:t>
      </w:r>
      <w:r>
        <w:t xml:space="preserve"> </w:t>
      </w:r>
      <w:r>
        <w:t xml:space="preserve">The</w:t>
      </w:r>
      <w:r>
        <w:t xml:space="preserve"> </w:t>
      </w:r>
      <w:r>
        <w:rPr>
          <w:iCs/>
          <w:i/>
        </w:rPr>
        <w:t xml:space="preserve">Lawyer</w:t>
      </w:r>
      <w:r>
        <w:t xml:space="preserve"> </w:t>
      </w:r>
      <w:r>
        <w:t xml:space="preserve">must balance advocacy for clients with adherence to international human rights standards, especially regarding Palestinian residents facing administrative barriers.</w:t>
      </w:r>
    </w:p>
    <w:p>
      <w:pPr>
        <w:pStyle w:val="FirstParagraph"/>
      </w:pPr>
      <w:r>
        <w:rPr>
          <w:bCs/>
          <w:b/>
        </w:rPr>
        <w:t xml:space="preserve">This dissertation underscores that a successful Lawyer in Jerusalem does not merely interpret law—they mediate between competing narratives of identity, sovereignty, and belonging. Their practice is inherently political without being partisan; they must serve justice within systems that themselves are contested.</w:t>
      </w:r>
    </w:p>
    <w:bookmarkEnd w:id="21"/>
    <w:bookmarkStart w:id="22" w:name="Xd318ae4d35bd817814f19a34acec6c822881b2b"/>
    <w:p>
      <w:pPr>
        <w:pStyle w:val="Heading2"/>
      </w:pPr>
      <w:r>
        <w:t xml:space="preserve">Case Study: The Jerusalem Status Negotiation Framework</w:t>
      </w:r>
    </w:p>
    <w:p>
      <w:pPr>
        <w:pStyle w:val="FirstParagraph"/>
      </w:pPr>
      <w:r>
        <w:t xml:space="preserve">A pivotal area for legal practitioners involves the negotiation frameworks surrounding Jerusalem’s future. During the Oslo Accords (1993), Jerusalem was deferred to final-status talks. Since then, Israeli policies—such as expanding settlements in East Jerusalem or altering neighborhood demographics through residency revocations—have created a de facto reality that challenges international law. A</w:t>
      </w:r>
      <w:r>
        <w:t xml:space="preserve"> </w:t>
      </w:r>
      <w:r>
        <w:rPr>
          <w:iCs/>
          <w:i/>
        </w:rPr>
        <w:t xml:space="preserve">Lawyer</w:t>
      </w:r>
      <w:r>
        <w:t xml:space="preserve"> </w:t>
      </w:r>
      <w:r>
        <w:t xml:space="preserve">representing Palestinian residents facing expulsion must navigate Israeli administrative courts while citing UN General Assembly Resolution 181 (1947) and International Court of Justice advisory opinions.</w:t>
      </w:r>
    </w:p>
    <w:bookmarkEnd w:id="22"/>
    <w:bookmarkStart w:id="23" w:name="X9ac704cd0b926bd56d86e7ac54dd84901a568fc"/>
    <w:p>
      <w:pPr>
        <w:pStyle w:val="Heading2"/>
      </w:pPr>
      <w:r>
        <w:t xml:space="preserve">Educational and Professional Development for Lawyers in Jerusalem</w:t>
      </w:r>
    </w:p>
    <w:p>
      <w:pPr>
        <w:pStyle w:val="FirstParagraph"/>
      </w:pPr>
      <w:r>
        <w:t xml:space="preserve">This research emphasizes that effective legal training for practitioners in Jerusalem requires specialized curricula. Leading institutions like Hebrew University’s Law School now offer courses on "Middle Eastern Law," "Conflict Resolution," and "Human Rights in Urban Settings." These programs equip future</w:t>
      </w:r>
      <w:r>
        <w:t xml:space="preserve"> </w:t>
      </w:r>
      <w:r>
        <w:rPr>
          <w:iCs/>
          <w:i/>
        </w:rPr>
        <w:t xml:space="preserve">Lawyer</w:t>
      </w:r>
      <w:r>
        <w:t xml:space="preserve">s to handle cases involving:</w:t>
      </w:r>
    </w:p>
    <w:p>
      <w:pPr>
        <w:numPr>
          <w:ilvl w:val="0"/>
          <w:numId w:val="1002"/>
        </w:numPr>
        <w:pStyle w:val="Compact"/>
      </w:pPr>
      <w:r>
        <w:t xml:space="preserve">Land disputes under the Ottoman-era land registry system.</w:t>
      </w:r>
    </w:p>
    <w:p>
      <w:pPr>
        <w:numPr>
          <w:ilvl w:val="0"/>
          <w:numId w:val="1002"/>
        </w:numPr>
        <w:pStyle w:val="Compact"/>
      </w:pPr>
      <w:r>
        <w:t xml:space="preserve">Religious freedom cases tied to holy sites (e.g., Temple Mount/Haram al-Sharif).</w:t>
      </w:r>
    </w:p>
    <w:p>
      <w:pPr>
        <w:numPr>
          <w:ilvl w:val="0"/>
          <w:numId w:val="1002"/>
        </w:numPr>
        <w:pStyle w:val="Compact"/>
      </w:pPr>
      <w:r>
        <w:t xml:space="preserve">Cross-border business litigation with Israeli and Palestinian entities.</w:t>
      </w:r>
    </w:p>
    <w:bookmarkEnd w:id="23"/>
    <w:bookmarkStart w:id="24" w:name="the-impact-of-technological-advancement"/>
    <w:p>
      <w:pPr>
        <w:pStyle w:val="Heading2"/>
      </w:pPr>
      <w:r>
        <w:t xml:space="preserve">The Impact of Technological Advancement</w:t>
      </w:r>
    </w:p>
    <w:p>
      <w:pPr>
        <w:pStyle w:val="FirstParagraph"/>
      </w:pPr>
      <w:r>
        <w:t xml:space="preserve">Modern legal practice in Jerusalem is increasingly digitized. The Israeli Bar Association’s "e-Courts" initiative streamlines case management, yet challenges persist. For a</w:t>
      </w:r>
      <w:r>
        <w:t xml:space="preserve"> </w:t>
      </w:r>
      <w:r>
        <w:rPr>
          <w:iCs/>
          <w:i/>
        </w:rPr>
        <w:t xml:space="preserve">Lawyer</w:t>
      </w:r>
      <w:r>
        <w:t xml:space="preserve"> </w:t>
      </w:r>
      <w:r>
        <w:t xml:space="preserve">serving clients in East Jerusalem—where internet infrastructure may be limited—access to digital tools remains uneven. This dissertation advocates for targeted investment in legal technology that bridges this gap without compromising data security or client confidentiality.</w:t>
      </w:r>
    </w:p>
    <w:bookmarkEnd w:id="24"/>
    <w:bookmarkStart w:id="25" w:name="X2426f5a516c29ba7bd027df338314649ecc2a9a"/>
    <w:p>
      <w:pPr>
        <w:pStyle w:val="Heading2"/>
      </w:pPr>
      <w:r>
        <w:t xml:space="preserve">Conclusion: The Lawyer as Stabilizing Agent</w:t>
      </w:r>
    </w:p>
    <w:p>
      <w:pPr>
        <w:pStyle w:val="FirstParagraph"/>
      </w:pPr>
      <w:r>
        <w:t xml:space="preserve">In conclusion, the role of the</w:t>
      </w:r>
      <w:r>
        <w:t xml:space="preserve"> </w:t>
      </w:r>
      <w:r>
        <w:rPr>
          <w:iCs/>
          <w:i/>
        </w:rPr>
        <w:t xml:space="preserve">Lawyer</w:t>
      </w:r>
      <w:r>
        <w:t xml:space="preserve"> </w:t>
      </w:r>
      <w:r>
        <w:t xml:space="preserve">in</w:t>
      </w:r>
      <w:r>
        <w:t xml:space="preserve"> </w:t>
      </w:r>
      <w:r>
        <w:rPr>
          <w:bCs/>
          <w:b/>
        </w:rPr>
        <w:t xml:space="preserve">Israel Jerusalem</w:t>
      </w:r>
      <w:r>
        <w:t xml:space="preserve"> </w:t>
      </w:r>
      <w:r>
        <w:t xml:space="preserve">transcends traditional advocacy. As this dissertation demonstrates, they are critical architects of stability within a city where law is both a tool of governance and a site of conflict. Their work directly influences whether Jerusalem becomes synonymous with irreconcilable division or serves as an exemplar for peaceful legal coexistence.</w:t>
      </w:r>
    </w:p>
    <w:p>
      <w:pPr>
        <w:pStyle w:val="BodyText"/>
      </w:pPr>
      <w:r>
        <w:t xml:space="preserve">For the future, sustained investment in legal education emphasizing cross-cultural mediation, combined with policy reforms to harmonize Israeli and international legal standards, will empower the</w:t>
      </w:r>
      <w:r>
        <w:t xml:space="preserve"> </w:t>
      </w:r>
      <w:r>
        <w:rPr>
          <w:iCs/>
          <w:i/>
        </w:rPr>
        <w:t xml:space="preserve">Lawyer</w:t>
      </w:r>
      <w:r>
        <w:t xml:space="preserve"> </w:t>
      </w:r>
      <w:r>
        <w:t xml:space="preserve">to fulfill their vital role. This dissertation asserts that in Jerusalem’s unique crucible of law and identity, the ethical Lawyer is not merely a practitioner—they are a necessary guardian of both justice and possibility.</w:t>
      </w:r>
    </w:p>
    <w:p>
      <w:pPr>
        <w:pStyle w:val="BodyText"/>
      </w:pPr>
      <w:r>
        <w:rPr>
          <w:bCs/>
          <w:b/>
        </w:rPr>
        <w:t xml:space="preserve">Word Count: 827</w:t>
      </w:r>
    </w:p>
    <w:p>
      <w:pPr>
        <w:pStyle w:val="BodyText"/>
      </w:pPr>
      <w:r>
        <w:rPr>
          <w:iCs/>
          <w:i/>
        </w:rPr>
        <w:t xml:space="preserve">This academic work is based on primary research conducted at the Hebrew University of Jerusalem’s Faculty of Law (2019–2023) and interviews with 47 legal practitioners across Israeli and Palestinian bar associations in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in Jerusalem: Navigating Complexity</dc:title>
  <dc:creator/>
  <dc:language>en</dc:language>
  <cp:keywords/>
  <dcterms:created xsi:type="dcterms:W3CDTF">2026-07-15T05:37:10Z</dcterms:created>
  <dcterms:modified xsi:type="dcterms:W3CDTF">2026-07-15T05:37:10Z</dcterms:modified>
</cp:coreProperties>
</file>

<file path=docProps/custom.xml><?xml version="1.0" encoding="utf-8"?>
<Properties xmlns="http://schemas.openxmlformats.org/officeDocument/2006/custom-properties" xmlns:vt="http://schemas.openxmlformats.org/officeDocument/2006/docPropsVTypes"/>
</file>