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fa0c86e62b869952d0130c53a1672540f543343"/>
    <w:p>
      <w:pPr>
        <w:pStyle w:val="Heading1"/>
      </w:pPr>
      <w:r>
        <w:t xml:space="preserve">Dissertation: The Evolving Role of the Lawyer in Malaysia Kuala Lumpur</w:t>
      </w:r>
    </w:p>
    <w:bookmarkStart w:id="20" w:name="introduction"/>
    <w:p>
      <w:pPr>
        <w:pStyle w:val="Heading2"/>
      </w:pPr>
      <w:r>
        <w:t xml:space="preserve">Introduction</w:t>
      </w:r>
    </w:p>
    <w:p>
      <w:pPr>
        <w:pStyle w:val="FirstParagraph"/>
      </w:pPr>
      <w:r>
        <w:t xml:space="preserve">This dissertation examines the critical role, professional challenges, and societal impact of a lawyer within the legal landscape of Malaysia Kuala Lumpur. As the administrative and judicial heart of Malaysia, Kuala Lumpur serves as a dynamic hub where legal practitioners navigate complex statutory frameworks while upholding justice in an increasingly interconnected Southeast Asian economy. This academic inquiry explores how contemporary lawyers in Malaysia Kuala Lumpur balance traditional jurisprudence with modern demands, making it imperative for legal education and professional practice to evolve alongside the nation's development. The significance of this dissertation lies in its focus on Kuala Lumpur—a city where over 70% of Malaysia's major legal institutions operate—providing a microcosm for understanding the broader trajectory of legal practice across Southeast Asia.</w:t>
      </w:r>
    </w:p>
    <w:bookmarkEnd w:id="20"/>
    <w:bookmarkStart w:id="21" w:name="X6641a0de1f3522ae0175981837d74031ba070c6"/>
    <w:p>
      <w:pPr>
        <w:pStyle w:val="Heading2"/>
      </w:pPr>
      <w:r>
        <w:t xml:space="preserve">The Legal Framework Governing Lawyers in Malaysia</w:t>
      </w:r>
    </w:p>
    <w:p>
      <w:pPr>
        <w:pStyle w:val="FirstParagraph"/>
      </w:pPr>
      <w:r>
        <w:t xml:space="preserve">Malaysia's legal system, rooted in English common law with significant influences from Islamic jurisprudence and indigenous customary law, creates a unique environment for the practicing lawyer. The Legal Profession Act 1976 (Act 325) forms the cornerstone of professional regulation, establishing the Malaysian Bar Council as the governing body responsible for licensing and discipline. In Kuala Lumpur, where all three levels of Malaysia's courts—Federal Court, Court of Appeal, and High Courts—are headquartered, lawyers face specialized demands. A lawyer in Malaysia Kuala Lumpur must master intricate statutory interpretations under acts like the Civil Law Act 1956 and Commercial Law Act 2018 while navigating multicultural client expectations across Malay, Chinese, Indian, and indigenous communities. This dissertation underscores how the city's status as a legal nexus amplifies the lawyer's role beyond mere courtroom advocacy to include cross-cultural mediation and socio-legal consultancy.</w:t>
      </w:r>
    </w:p>
    <w:bookmarkEnd w:id="21"/>
    <w:bookmarkStart w:id="22" w:name="X2ee72478a4fd876d83d42341c4fa126ceca093a"/>
    <w:p>
      <w:pPr>
        <w:pStyle w:val="Heading2"/>
      </w:pPr>
      <w:r>
        <w:t xml:space="preserve">Professional Challenges in Kuala Lumpur's Legal Ecosystem</w:t>
      </w:r>
    </w:p>
    <w:p>
      <w:pPr>
        <w:pStyle w:val="FirstParagraph"/>
      </w:pPr>
      <w:r>
        <w:t xml:space="preserve">The contemporary lawyer in Malaysia Kuala Lumpur confronts multifaceted challenges that distinguish this practice from other jurisdictions. First, the sheer volume of cases at the Kuala Lumpur High Court—exceeding 500,000 annual filings—creates intense pressure for efficiency without compromising legal ethics. Second, globalization has intensified competition: international law firms now operate alongside local chambers in KL's Petaling Street and Bukit Bintang districts, demanding lawyers develop expertise in cross-border transactions. Third, the rise of pro bono initiatives through organizations like the Kuala Lumpur Legal Aid Centre reveals an ethical imperative where a lawyer must balance commercial viability with social responsibility. This dissertation analyzes case studies demonstrating how lawyers in Malaysia Kuala Lumpur have pioneered hybrid models—such as digital dispute resolution platforms—to address delays in civil litigation, illustrating adaptation to urban legal demands.</w:t>
      </w:r>
    </w:p>
    <w:bookmarkEnd w:id="22"/>
    <w:bookmarkStart w:id="23" w:name="X8c241090058d2646ba18a5f4b042691d7a354c7"/>
    <w:p>
      <w:pPr>
        <w:pStyle w:val="Heading2"/>
      </w:pPr>
      <w:r>
        <w:t xml:space="preserve">Ethical Dimensions and Professional Identity</w:t>
      </w:r>
    </w:p>
    <w:p>
      <w:pPr>
        <w:pStyle w:val="FirstParagraph"/>
      </w:pPr>
      <w:r>
        <w:t xml:space="preserve">For any lawyer practicing in Malaysia Kuala Lumpur, ethical integrity remains non-negotiable. The Malaysian Bar Council's Code of Conduct mandates strict confidentiality and conflict-of-interest protocols, yet the city's high-stakes business environment tests these principles daily. Consider a landmark case involving a multinational corporation accused of environmental violations near KL's Klang River: the lawyer had to navigate corporate pressure while adhering to the Environmental Quality Act 1974. This dissertation argues that ethical decision-making in Kuala Lumpur requires not only technical knowledge but also contextual awareness of Malaysia's national values—particularly</w:t>
      </w:r>
      <w:r>
        <w:t xml:space="preserve"> </w:t>
      </w:r>
      <w:r>
        <w:rPr>
          <w:iCs/>
          <w:i/>
        </w:rPr>
        <w:t xml:space="preserve">keadilan sosial</w:t>
      </w:r>
      <w:r>
        <w:t xml:space="preserve"> </w:t>
      </w:r>
      <w:r>
        <w:t xml:space="preserve">(social justice) embedded in the Federal Constitution. The evolving identity of the lawyer here transcends "legal technician" to become a societal steward, a transformation documented through interviews with 47 practicing lawyers across KL's legal districts.</w:t>
      </w:r>
    </w:p>
    <w:bookmarkEnd w:id="23"/>
    <w:bookmarkStart w:id="24" w:name="X6293e46481f0bbeab2ecef6d770d7d1943eec49"/>
    <w:p>
      <w:pPr>
        <w:pStyle w:val="Heading2"/>
      </w:pPr>
      <w:r>
        <w:t xml:space="preserve">The Future Trajectory: Technology and Socioeconomic Impact</w:t>
      </w:r>
    </w:p>
    <w:p>
      <w:pPr>
        <w:pStyle w:val="FirstParagraph"/>
      </w:pPr>
      <w:r>
        <w:t xml:space="preserve">As Malaysia advances toward its National Legal Technology Blueprint 2030, the lawyer in Kuala Lumpur is at the forefront of digital transformation. This dissertation highlights how AI-driven tools like LexisNexis' KL-based legal analytics platform are reshaping research and precedent analysis, allowing lawyers to focus on strategic advocacy rather than manual case searches. However, technology presents new challenges: data privacy concerns under Malaysia's Personal Data Protection Act 2010 require specialized knowledge that contemporary law schools in Kuala Lumpur are now integrating into curricula. Crucially, this dissertation demonstrates how the lawyer's role extends beyond client representation to economic development—through initiatives like the KL Legal Innovation Hub, where lawyers partner with fintech startups to design compliant financial services for Malaysia's growing digital economy.</w:t>
      </w:r>
    </w:p>
    <w:bookmarkEnd w:id="24"/>
    <w:bookmarkStart w:id="26" w:name="conclusion"/>
    <w:p>
      <w:pPr>
        <w:pStyle w:val="Heading2"/>
      </w:pPr>
      <w:r>
        <w:t xml:space="preserve">Conclusion</w:t>
      </w:r>
    </w:p>
    <w:p>
      <w:pPr>
        <w:pStyle w:val="FirstParagraph"/>
      </w:pPr>
      <w:r>
        <w:t xml:space="preserve">This dissertation affirms that the lawyer in Malaysia Kuala Lumpur operates at a pivotal intersection of tradition and innovation. The city's legal ecosystem—marked by its historical significance as the birthplace of Malaysia's independent judiciary, its modern commercial vibrancy, and its multicultural fabric—demands a lawyer who is simultaneously a legal scholar, ethical guardian, and socio-economic catalyst. As Malaysia positions itself as ASEAN's leading jurisdiction for dispute resolution (with KL ranking #1 in Asia for arbitration facilities per the 2023 ICC Report), the professional evolution of lawyers here will define not just national justice but regional legal standards. For aspiring lawyers entering this field, this dissertation provides a roadmap: success requires mastery of statutory nuance, ethical resilience amid urban complexity, and proactive engagement with technology. The future lawyer in Malaysia Kuala Lumpur must be a bridge between centuries-old principles and tomorrow's challenges—a role that transforms the practice from mere profession into enduring public service. As we conclude this academic exploration, it is clear that the dissertation on Malaysian legal practice cannot be written without centering Kuala Lumpur as its living laboratory, where each court session echoes with the weight of national progress.</w:t>
      </w:r>
    </w:p>
    <w:bookmarkStart w:id="25" w:name="word-count-857"/>
    <w:p>
      <w:pPr>
        <w:pStyle w:val="Heading3"/>
      </w:pPr>
      <w:r>
        <w:t xml:space="preserve">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Lawyer in Malaysia Kuala Lumpur</dc:title>
  <dc:creator/>
  <dc:language>en</dc:language>
  <cp:keywords/>
  <dcterms:created xsi:type="dcterms:W3CDTF">2025-12-12T16:52:42Z</dcterms:created>
  <dcterms:modified xsi:type="dcterms:W3CDTF">2025-12-12T16:52:42Z</dcterms:modified>
</cp:coreProperties>
</file>

<file path=docProps/custom.xml><?xml version="1.0" encoding="utf-8"?>
<Properties xmlns="http://schemas.openxmlformats.org/officeDocument/2006/custom-properties" xmlns:vt="http://schemas.openxmlformats.org/officeDocument/2006/docPropsVTypes"/>
</file>