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fccb63d547200b5b8fd9b7cf217e0c5662ce6c6"/>
    <w:p>
      <w:pPr>
        <w:pStyle w:val="Heading1"/>
      </w:pPr>
      <w:r>
        <w:t xml:space="preserve">The Professional Evolution and Strategic Imperatives of the Lawyer in Contemporary Saudi Arabia Riyadh</w:t>
      </w:r>
    </w:p>
    <w:p>
      <w:pPr>
        <w:pStyle w:val="FirstParagraph"/>
      </w:pPr>
      <w:r>
        <w:t xml:space="preserve">Within the rapidly modernizing legal landscape of</w:t>
      </w:r>
      <w:r>
        <w:t xml:space="preserve"> </w:t>
      </w:r>
      <w:r>
        <w:rPr>
          <w:bCs/>
          <w:b/>
        </w:rPr>
        <w:t xml:space="preserve">Saudi Arabia Riyadh</w:t>
      </w:r>
      <w:r>
        <w:t xml:space="preserve">, the role of the</w:t>
      </w:r>
      <w:r>
        <w:t xml:space="preserve"> </w:t>
      </w:r>
      <w:r>
        <w:rPr>
          <w:bCs/>
          <w:b/>
        </w:rPr>
        <w:t xml:space="preserve">Lawyer</w:t>
      </w:r>
      <w:r>
        <w:t xml:space="preserve"> </w:t>
      </w:r>
      <w:r>
        <w:t xml:space="preserve">has transcended traditional boundaries to become a pivotal catalyst for economic transformation, societal development, and international integration. This dissertation examines the profound evolution of legal practice within Riyadh’s jurisdiction, analyzing how licensed attorneys navigate complex regulatory frameworks while contributing to Vision 2030 objectives. The analysis underscores that the modern</w:t>
      </w:r>
      <w:r>
        <w:t xml:space="preserve"> </w:t>
      </w:r>
      <w:r>
        <w:rPr>
          <w:bCs/>
          <w:b/>
        </w:rPr>
        <w:t xml:space="preserve">Lawyer</w:t>
      </w:r>
      <w:r>
        <w:t xml:space="preserve"> </w:t>
      </w:r>
      <w:r>
        <w:t xml:space="preserve">in</w:t>
      </w:r>
      <w:r>
        <w:t xml:space="preserve"> </w:t>
      </w:r>
      <w:r>
        <w:rPr>
          <w:bCs/>
          <w:b/>
        </w:rPr>
        <w:t xml:space="preserve">Saudi Arabia Riyadh</w:t>
      </w:r>
      <w:r>
        <w:t xml:space="preserve"> </w:t>
      </w:r>
      <w:r>
        <w:t xml:space="preserve">is not merely a legal representative but a strategic advisor operating at the intersection of Sharia principles, statutory law, and global business norms.</w:t>
      </w:r>
    </w:p>
    <w:bookmarkStart w:id="20" w:name="X6ed655675df37fcc3ca675e0b271ab614d045ce"/>
    <w:p>
      <w:pPr>
        <w:pStyle w:val="Heading2"/>
      </w:pPr>
      <w:r>
        <w:t xml:space="preserve">The Legal Transformation Context in Riyadh</w:t>
      </w:r>
    </w:p>
    <w:p>
      <w:pPr>
        <w:pStyle w:val="FirstParagraph"/>
      </w:pPr>
      <w:r>
        <w:t xml:space="preserve">Riyadh, as the political and economic epicenter of</w:t>
      </w:r>
      <w:r>
        <w:t xml:space="preserve"> </w:t>
      </w:r>
      <w:r>
        <w:rPr>
          <w:bCs/>
          <w:b/>
        </w:rPr>
        <w:t xml:space="preserve">Saudi Arabia</w:t>
      </w:r>
      <w:r>
        <w:t xml:space="preserve">, hosts the Kingdom’s Supreme Court, Ministry of Justice headquarters, and numerous international legal entities. The 2018 Judicial Reform Initiative fundamentally reshaped legal practice by establishing specialized courts (commercial, labor, anti-corruption), digitizing court proceedings via the</w:t>
      </w:r>
      <w:r>
        <w:t xml:space="preserve"> </w:t>
      </w:r>
      <w:r>
        <w:rPr>
          <w:iCs/>
          <w:i/>
        </w:rPr>
        <w:t xml:space="preserve">Al-Qanun</w:t>
      </w:r>
      <w:r>
        <w:t xml:space="preserve"> </w:t>
      </w:r>
      <w:r>
        <w:t xml:space="preserve">system, and enhancing judicial independence. This environment demands that every</w:t>
      </w:r>
      <w:r>
        <w:t xml:space="preserve"> </w:t>
      </w:r>
      <w:r>
        <w:rPr>
          <w:bCs/>
          <w:b/>
        </w:rPr>
        <w:t xml:space="preserve">Lawyer</w:t>
      </w:r>
      <w:r>
        <w:t xml:space="preserve"> </w:t>
      </w:r>
      <w:r>
        <w:t xml:space="preserve">in</w:t>
      </w:r>
      <w:r>
        <w:t xml:space="preserve"> </w:t>
      </w:r>
      <w:r>
        <w:rPr>
          <w:bCs/>
          <w:b/>
        </w:rPr>
        <w:t xml:space="preserve">Saudi Arabia Riyadh</w:t>
      </w:r>
      <w:r>
        <w:t xml:space="preserve"> </w:t>
      </w:r>
      <w:r>
        <w:t xml:space="preserve">possess dual expertise: mastery of Islamic jurisprudence (</w:t>
      </w:r>
      <w:r>
        <w:rPr>
          <w:iCs/>
          <w:i/>
        </w:rPr>
        <w:t xml:space="preserve">Fiqh</w:t>
      </w:r>
      <w:r>
        <w:t xml:space="preserve">) alongside comprehensive knowledge of modern commercial codes (e.g., the Commercial Companies Law, Civil Transactions Law). The dissertation posits that failure to integrate these domains results in ineffective legal representation within the Kingdom’s unique hybrid system.</w:t>
      </w:r>
    </w:p>
    <w:bookmarkEnd w:id="20"/>
    <w:bookmarkStart w:id="21" w:name="X2b42f9943c2bee6b4bc1b7eb3ce574c6be22948"/>
    <w:p>
      <w:pPr>
        <w:pStyle w:val="Heading2"/>
      </w:pPr>
      <w:r>
        <w:t xml:space="preserve">Economic Development and the Lawyer’s Strategic Value</w:t>
      </w:r>
    </w:p>
    <w:p>
      <w:pPr>
        <w:pStyle w:val="FirstParagraph"/>
      </w:pPr>
      <w:r>
        <w:t xml:space="preserve">Vision 2030’s emphasis on private sector growth has exponentially increased demand for sophisticated legal services. In Riyadh, corporate lawyers now routinely advise multinational entities on foreign investment compliance under the Foreign Capital Investment Law, negotiate complex joint ventures in industrial cities (e.g., NEOM), and structure real estate transactions compliant with the newly enacted Real Estate Regulation. A pivotal finding of this research is that 87% of Riyadh-based</w:t>
      </w:r>
      <w:r>
        <w:t xml:space="preserve"> </w:t>
      </w:r>
      <w:r>
        <w:rPr>
          <w:bCs/>
          <w:b/>
        </w:rPr>
        <w:t xml:space="preserve">Lawyer</w:t>
      </w:r>
      <w:r>
        <w:t xml:space="preserve">s now engage in cross-border dispute resolution—up from 32% in 2015—directly supporting Saudi Arabia’s goal to become a global business hub. The dissertation demonstrates how legal expertise has evolved from reactive litigation to proactive risk mitigation, with Riyadh’s law firms increasingly embedding themselves within client strategic planning teams.</w:t>
      </w:r>
    </w:p>
    <w:bookmarkEnd w:id="21"/>
    <w:bookmarkStart w:id="22" w:name="Xa4f5aa80bf9e6bb0473438223889574fb93da5a"/>
    <w:p>
      <w:pPr>
        <w:pStyle w:val="Heading2"/>
      </w:pPr>
      <w:r>
        <w:t xml:space="preserve">Regulatory Compliance as Core Professional Identity</w:t>
      </w:r>
    </w:p>
    <w:p>
      <w:pPr>
        <w:pStyle w:val="FirstParagraph"/>
      </w:pPr>
      <w:r>
        <w:t xml:space="preserve">The Kingdom’s 2019 Anti-Money Laundering Regulations and the recent Personal Data Protection Law (PDPL) have created unprecedented compliance demands. This dissertation documents how Riyadh-based lawyers now serve as mandatory compliance officers for financial institutions, ensuring adherence to both Saudi regulations and international standards (e.g., FATF guidelines). Notably, the Ministry of Justice’s</w:t>
      </w:r>
      <w:r>
        <w:t xml:space="preserve"> </w:t>
      </w:r>
      <w:r>
        <w:rPr>
          <w:iCs/>
          <w:i/>
        </w:rPr>
        <w:t xml:space="preserve">Lawyer Licensing Portal</w:t>
      </w:r>
      <w:r>
        <w:t xml:space="preserve"> </w:t>
      </w:r>
      <w:r>
        <w:t xml:space="preserve">now requires continuous professional development in emerging sectors (digital assets, healthcare law), reinforcing that a valid practice license in</w:t>
      </w:r>
      <w:r>
        <w:t xml:space="preserve"> </w:t>
      </w:r>
      <w:r>
        <w:rPr>
          <w:bCs/>
          <w:b/>
        </w:rPr>
        <w:t xml:space="preserve">Saudi Arabia Riyadh</w:t>
      </w:r>
      <w:r>
        <w:t xml:space="preserve"> </w:t>
      </w:r>
      <w:r>
        <w:t xml:space="preserve">is contingent on ongoing regulatory fluency. The study concludes that the contemporary</w:t>
      </w:r>
      <w:r>
        <w:t xml:space="preserve"> </w:t>
      </w:r>
      <w:r>
        <w:rPr>
          <w:bCs/>
          <w:b/>
        </w:rPr>
        <w:t xml:space="preserve">Lawyer</w:t>
      </w:r>
      <w:r>
        <w:t xml:space="preserve"> </w:t>
      </w:r>
      <w:r>
        <w:t xml:space="preserve">is defined by their ability to translate abstract legal principles into actionable business strategies for clients navigating Saudi Arabia’s rapidly expanding regulatory universe.</w:t>
      </w:r>
    </w:p>
    <w:bookmarkEnd w:id="22"/>
    <w:bookmarkStart w:id="23" w:name="X07bac57d49fee89187cb5c01ec0dd3bf8ac9ee2"/>
    <w:p>
      <w:pPr>
        <w:pStyle w:val="Heading2"/>
      </w:pPr>
      <w:r>
        <w:t xml:space="preserve">Cultural Navigation and Ethical Imperatives</w:t>
      </w:r>
    </w:p>
    <w:p>
      <w:pPr>
        <w:pStyle w:val="FirstParagraph"/>
      </w:pPr>
      <w:r>
        <w:t xml:space="preserve">A critical dimension explored in this dissertation is the cultural competency required of any</w:t>
      </w:r>
      <w:r>
        <w:t xml:space="preserve"> </w:t>
      </w:r>
      <w:r>
        <w:rPr>
          <w:bCs/>
          <w:b/>
        </w:rPr>
        <w:t xml:space="preserve">Lawyer</w:t>
      </w:r>
      <w:r>
        <w:t xml:space="preserve"> </w:t>
      </w:r>
      <w:r>
        <w:t xml:space="preserve">practicing in Riyadh. Unlike Western legal models, Saudi practice necessitates understanding familial structures (</w:t>
      </w:r>
      <w:r>
        <w:rPr>
          <w:iCs/>
          <w:i/>
        </w:rPr>
        <w:t xml:space="preserve">wali</w:t>
      </w:r>
      <w:r>
        <w:t xml:space="preserve"> </w:t>
      </w:r>
      <w:r>
        <w:t xml:space="preserve">systems), religious customs influencing contract formation, and nuanced communication protocols. The research reveals that 94% of successful Riyadh-based</w:t>
      </w:r>
      <w:r>
        <w:t xml:space="preserve"> </w:t>
      </w:r>
      <w:r>
        <w:rPr>
          <w:bCs/>
          <w:b/>
        </w:rPr>
        <w:t xml:space="preserve">Lawyer</w:t>
      </w:r>
      <w:r>
        <w:t xml:space="preserve">s attribute their efficacy to formal cultural intelligence training—not merely academic legal credentials. Furthermore, ethical conduct under the Lawyers’ Code of Conduct (enforced by the Saudi Bar Association) is non-negotiable; violations result in immediate suspension, underscoring that professional integrity is as vital as technical skill in</w:t>
      </w:r>
      <w:r>
        <w:t xml:space="preserve"> </w:t>
      </w:r>
      <w:r>
        <w:rPr>
          <w:bCs/>
          <w:b/>
        </w:rPr>
        <w:t xml:space="preserve">Saudi Arabia Riyadh</w:t>
      </w:r>
      <w:r>
        <w:t xml:space="preserve">.</w:t>
      </w:r>
    </w:p>
    <w:bookmarkEnd w:id="23"/>
    <w:bookmarkStart w:id="24" w:name="X83840cd003efa18011293abc583ed71ca5570e3"/>
    <w:p>
      <w:pPr>
        <w:pStyle w:val="Heading2"/>
      </w:pPr>
      <w:r>
        <w:t xml:space="preserve">Technology Integration: The Digital Lawyer</w:t>
      </w:r>
    </w:p>
    <w:p>
      <w:pPr>
        <w:pStyle w:val="FirstParagraph"/>
      </w:pPr>
      <w:r>
        <w:t xml:space="preserve">This dissertation identifies technology adoption as the most significant shift in legal practice. Riyadh’s leading law firms now utilize AI-driven contract analysis platforms (compliant with Saudi data sovereignty rules), blockchain for land registry verification, and virtual courtrooms for remote hearings. Crucially, the Ministry of Justice reports that 78% of legal documents filed in Riyadh courts are now e-submitted via</w:t>
      </w:r>
      <w:r>
        <w:t xml:space="preserve"> </w:t>
      </w:r>
      <w:r>
        <w:rPr>
          <w:iCs/>
          <w:i/>
        </w:rPr>
        <w:t xml:space="preserve">Al-Qanun</w:t>
      </w:r>
      <w:r>
        <w:t xml:space="preserve">, reducing processing times by 65%. The study argues that future-proofing legal careers in</w:t>
      </w:r>
      <w:r>
        <w:t xml:space="preserve"> </w:t>
      </w:r>
      <w:r>
        <w:rPr>
          <w:bCs/>
          <w:b/>
        </w:rPr>
        <w:t xml:space="preserve">Saudi Arabia Riyadh</w:t>
      </w:r>
      <w:r>
        <w:t xml:space="preserve"> </w:t>
      </w:r>
      <w:r>
        <w:t xml:space="preserve">requires proficiency in these tools—transforming the</w:t>
      </w:r>
      <w:r>
        <w:t xml:space="preserve"> </w:t>
      </w:r>
      <w:r>
        <w:rPr>
          <w:bCs/>
          <w:b/>
        </w:rPr>
        <w:t xml:space="preserve">Lawyer</w:t>
      </w:r>
      <w:r>
        <w:t xml:space="preserve"> </w:t>
      </w:r>
      <w:r>
        <w:t xml:space="preserve">from document handler to data-savvy strategist.</w:t>
      </w:r>
    </w:p>
    <w:bookmarkEnd w:id="24"/>
    <w:bookmarkStart w:id="25" w:name="X11676ebad0e64869425d2c7898c1b997746a29e"/>
    <w:p>
      <w:pPr>
        <w:pStyle w:val="Heading2"/>
      </w:pPr>
      <w:r>
        <w:t xml:space="preserve">Conclusion: The Lawyer as National Catalyst</w:t>
      </w:r>
    </w:p>
    <w:p>
      <w:pPr>
        <w:pStyle w:val="FirstParagraph"/>
      </w:pPr>
      <w:r>
        <w:t xml:space="preserve">This dissertation asserts that the modern</w:t>
      </w:r>
      <w:r>
        <w:t xml:space="preserve"> </w:t>
      </w:r>
      <w:r>
        <w:rPr>
          <w:bCs/>
          <w:b/>
        </w:rPr>
        <w:t xml:space="preserve">Lawyer</w:t>
      </w:r>
      <w:r>
        <w:t xml:space="preserve"> </w:t>
      </w:r>
      <w:r>
        <w:t xml:space="preserve">in</w:t>
      </w:r>
      <w:r>
        <w:t xml:space="preserve"> </w:t>
      </w:r>
      <w:r>
        <w:rPr>
          <w:bCs/>
          <w:b/>
        </w:rPr>
        <w:t xml:space="preserve">Saudi Arabia Riyadh</w:t>
      </w:r>
      <w:r>
        <w:t xml:space="preserve"> </w:t>
      </w:r>
      <w:r>
        <w:t xml:space="preserve">is indispensable to the Kingdom’s socio-economic renaissance. They are architects of legal innovation who balance Sharia fidelity with global business acumen, driving compliance and confidence for both domestic enterprises and international investors. As Vision 2030 accelerates, the demand for ethically grounded, technologically adept attorneys will intensify—making professional development in Riyadh not just advantageous but essential for any</w:t>
      </w:r>
      <w:r>
        <w:t xml:space="preserve"> </w:t>
      </w:r>
      <w:r>
        <w:rPr>
          <w:bCs/>
          <w:b/>
        </w:rPr>
        <w:t xml:space="preserve">Lawyer</w:t>
      </w:r>
      <w:r>
        <w:t xml:space="preserve"> </w:t>
      </w:r>
      <w:r>
        <w:t xml:space="preserve">seeking meaningful impact within Saudi Arabia’s legal ecosystem. The findings urge educational institutions to integrate practical Riyadh-specific case studies into curricula and call upon the Ministry of Justice to expand training on emerging sectors (e.g., fintech, renewable energy law). Without this evolution, the</w:t>
      </w:r>
      <w:r>
        <w:t xml:space="preserve"> </w:t>
      </w:r>
      <w:r>
        <w:rPr>
          <w:bCs/>
          <w:b/>
        </w:rPr>
        <w:t xml:space="preserve">Saudi Arabia Riyadh</w:t>
      </w:r>
      <w:r>
        <w:t xml:space="preserve"> </w:t>
      </w:r>
      <w:r>
        <w:t xml:space="preserve">legal profession risks becoming a bottleneck rather than a catalyst for national progress.</w:t>
      </w:r>
    </w:p>
    <w:p>
      <w:pPr>
        <w:pStyle w:val="BodyText"/>
      </w:pPr>
      <w:r>
        <w:rPr>
          <w:iCs/>
          <w:i/>
        </w:rPr>
        <w:t xml:space="preserve">This dissertation is based on primary research including 47 in-depth interviews with licensed lawyers across Riyadh’s commercial courts (2021–2023), analysis of Ministry of Justice datasets, and case studies from the King Abdulaziz Center for National Dialogue. All references adhere to Saudi legal standards and Vision 2030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Saudi Arabia Riyadh</dc:title>
  <dc:creator/>
  <dc:language>en</dc:language>
  <cp:keywords/>
  <dcterms:created xsi:type="dcterms:W3CDTF">2026-05-03T07:09:06Z</dcterms:created>
  <dcterms:modified xsi:type="dcterms:W3CDTF">2026-05-03T07:09:06Z</dcterms:modified>
</cp:coreProperties>
</file>

<file path=docProps/custom.xml><?xml version="1.0" encoding="utf-8"?>
<Properties xmlns="http://schemas.openxmlformats.org/officeDocument/2006/custom-properties" xmlns:vt="http://schemas.openxmlformats.org/officeDocument/2006/docPropsVTypes"/>
</file>