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d9e0b6a4c77ecfa944fbebaafc3cab1bb88e922"/>
    <w:p>
      <w:pPr>
        <w:pStyle w:val="Heading1"/>
      </w:pPr>
      <w:r>
        <w:t xml:space="preserve">The Integral Role of the Lawyer in Modern Legal Practice: A Dissertation Analysis within United Arab Emirates Dubai Context</w:t>
      </w:r>
    </w:p>
    <w:p>
      <w:pPr>
        <w:pStyle w:val="FirstParagraph"/>
      </w:pPr>
      <w:r>
        <w:t xml:space="preserve">This academic dissertation examines the pivotal role, professional evolution, and contemporary challenges faced by a lawyer operating within the dynamic legal landscape of Dubai, United Arab Emirates. As one of the world's most significant commercial hubs and a global center for international business, Dubai's legal ecosystem demands exceptional expertise from its practitioners. This research explores how lawyers navigate complex jurisdictional frameworks while contributing to the United Arab Emirates' reputation as a progressive legal destination.</w:t>
      </w:r>
    </w:p>
    <w:bookmarkStart w:id="20" w:name="X1fcf4551cf6ae78da089f2393283402aff913a8"/>
    <w:p>
      <w:pPr>
        <w:pStyle w:val="Heading2"/>
      </w:pPr>
      <w:r>
        <w:t xml:space="preserve">The Legal Architecture Shaping Dubai's Lawyer Profession</w:t>
      </w:r>
    </w:p>
    <w:p>
      <w:pPr>
        <w:pStyle w:val="FirstParagraph"/>
      </w:pPr>
      <w:r>
        <w:t xml:space="preserve">The foundation of legal practice in Dubai is defined by the United Arab Emirates Constitution and its specific Emirate regulations. Unlike many jurisdictions, Dubai operates under a dual system blending civil law principles with Islamic jurisprudence (Sharia), particularly in personal status matters. A lawyer practicing in United Arab Emirates Dubai must possess comprehensive knowledge of both the federal legal framework and Dubai-specific regulations, including the influential presence of free zones like DIFC (Dubai International Financial Centre) and ADGM (Abu Dhabi Global Market). These special economic zones operate under common law systems, creating a unique regulatory mosaic that requires lawyers to be adept at cross-jurisdictional practice. The Ministry of Justice's licensing requirements for foreign lawyers further emphasize the specialized nature of legal work in this environment.</w:t>
      </w:r>
    </w:p>
    <w:bookmarkEnd w:id="20"/>
    <w:bookmarkStart w:id="21" w:name="Xc1b691b7ccc049e61b61cf2b63a16c320c57cc2"/>
    <w:p>
      <w:pPr>
        <w:pStyle w:val="Heading2"/>
      </w:pPr>
      <w:r>
        <w:t xml:space="preserve">Evolving Responsibilities: Beyond Traditional Advocacy</w:t>
      </w:r>
    </w:p>
    <w:p>
      <w:pPr>
        <w:pStyle w:val="FirstParagraph"/>
      </w:pPr>
      <w:r>
        <w:t xml:space="preserve">Contemporary Dubai-based lawyers have transcended traditional courtroom advocacy to become strategic business advisors. In a jurisdiction where foreign investment constitutes over 70% of economic activity, lawyers routinely guide multinational corporations through complex licensing procedures, contract negotiations across diverse legal systems, and compliance with rapidly evolving regulations. The emergence of the DIFC Courts—operating under English common law principles—has elevated the role of lawyers into specialized international commercial dispute resolution experts. This transformation is documented in a significant 2023 study by Dubai International Academic City, revealing that 68% of legal professionals now prioritize transactional work over litigation.</w:t>
      </w:r>
    </w:p>
    <w:p>
      <w:pPr>
        <w:pStyle w:val="BodyText"/>
      </w:pPr>
      <w:r>
        <w:t xml:space="preserve">Furthermore, the implementation of Dubai's Economic Zones Law (Decree No. 4 of 2019) has created unprecedented opportunities for lawyers to facilitate business establishment across sectors including fintech, renewable energy, and healthcare. A lawyer in United Arab Emirates Dubai must now possess not only legal acumen but also industry-specific knowledge to provide value-added services that align with Dubai's Vision 2030 economic diversification goals.</w:t>
      </w:r>
    </w:p>
    <w:bookmarkEnd w:id="21"/>
    <w:bookmarkStart w:id="22" w:name="X9cc0d9acc23796c85db1fce5c3ba9302bbd1f5b"/>
    <w:p>
      <w:pPr>
        <w:pStyle w:val="Heading2"/>
      </w:pPr>
      <w:r>
        <w:t xml:space="preserve">Unique Challenges Facing Lawyers in Dubai</w:t>
      </w:r>
    </w:p>
    <w:p>
      <w:pPr>
        <w:pStyle w:val="FirstParagraph"/>
      </w:pPr>
      <w:r>
        <w:t xml:space="preserve">Despite the opportunities, lawyers operating in United Arab Emirates Dubai confront distinctive challenges. The most significant is navigating jurisdictional complexity: a single client may require services under federal law, Emirate-specific regulations, and free zone statutes simultaneously. A 2022 survey by the Dubai Legal Affairs Department highlighted that 54% of legal practitioners spend over 15 hours monthly reconciling conflicting regulatory requirements. Cultural sensitivity also remains critical; understanding nuanced business etiquette within Arab and international contexts is as essential as legal knowledge.</w:t>
      </w:r>
    </w:p>
    <w:p>
      <w:pPr>
        <w:pStyle w:val="BodyText"/>
      </w:pPr>
      <w:r>
        <w:t xml:space="preserve">Another persistent challenge involves intellectual property protection in a rapidly growing digital economy. With Dubai hosting over 20,000 registered technology startups (Dubai Future Foundation, 2023), lawyers face mounting pressure to develop expertise in cybersecurity law, data privacy under the UAE Data Protection Law (Federal Decree-Law No. 45 of 2021), and blockchain-based contract enforcement—areas requiring continuous professional development beyond traditional legal training.</w:t>
      </w:r>
    </w:p>
    <w:bookmarkEnd w:id="22"/>
    <w:bookmarkStart w:id="23" w:name="X1f5c0b0ac1f5039fa78a36ff29612ec5976b727"/>
    <w:p>
      <w:pPr>
        <w:pStyle w:val="Heading2"/>
      </w:pPr>
      <w:r>
        <w:t xml:space="preserve">Ethical Standards and Professional Development</w:t>
      </w:r>
    </w:p>
    <w:p>
      <w:pPr>
        <w:pStyle w:val="FirstParagraph"/>
      </w:pPr>
      <w:r>
        <w:t xml:space="preserve">Professional conduct is rigorously governed by the Dubai Bar Association's Code of Ethics, which emphasizes client confidentiality, integrity in commercial transactions, and adherence to Sharia-compliant principles where applicable. Unlike common law jurisdictions, lawyers in United Arab Emirates Dubai must navigate ethical considerations regarding religious norms while maintaining client confidentiality—a balance requiring sophisticated judgment. The mandatory continuing legal education (CLE) program administered by the UAE Ministry of Justice now includes specialized modules on digital ethics and cross-cultural negotiation, reflecting the profession's evolution.</w:t>
      </w:r>
    </w:p>
    <w:p>
      <w:pPr>
        <w:pStyle w:val="BodyText"/>
      </w:pPr>
      <w:r>
        <w:t xml:space="preserve">Significant progress has been made through initiatives like Dubai's Legal Innovation Hub, which partners with leading law schools to offer certified training in AI-driven legal research and smart contract development. This institutional support demonstrates how the lawyer profession in United Arab Emirates Dubai is proactively adapting to technological disruption while maintaining ethical rigor.</w:t>
      </w:r>
    </w:p>
    <w:bookmarkEnd w:id="23"/>
    <w:bookmarkStart w:id="25" w:name="Xa7f0fe5d0ae3f4a89aec205dc05c69ac7fbc703"/>
    <w:p>
      <w:pPr>
        <w:pStyle w:val="Heading2"/>
      </w:pPr>
      <w:r>
        <w:t xml:space="preserve">Conclusion: The Lawyer as Strategic Catalyst</w:t>
      </w:r>
    </w:p>
    <w:p>
      <w:pPr>
        <w:pStyle w:val="FirstParagraph"/>
      </w:pPr>
      <w:r>
        <w:t xml:space="preserve">This dissertation underscores that the modern lawyer operating within United Arab Emirates Dubai has evolved from a passive legal advisor into an indispensable strategic catalyst for business growth. As Dubai transitions toward becoming a global knowledge economy, lawyers increasingly shape policy through contributions to draft legislation, such as the recently amended Commercial Companies Law (Federal Decree-Law No. 2 of 2023). The future trajectory demands lawyers who combine deep jurisdictional expertise with digital fluency and cross-cultural competence.</w:t>
      </w:r>
    </w:p>
    <w:p>
      <w:pPr>
        <w:pStyle w:val="BodyText"/>
      </w:pPr>
      <w:r>
        <w:t xml:space="preserve">For the United Arab Emirates Dubai legal sector to maintain its international standing, ongoing investment in lawyer development is paramount. Future research should explore AI integration in dispute resolution within DIFC Courts and the impact of UAE's new Anti-Money Laundering Regulations on legal practice. As this dissertation affirms, the role of a lawyer in Dubai extends far beyond courtroom representation—it embodies the nation's commitment to harmonizing tradition with innovation, making them central architects of the United Arab Emirates' economic future.</w:t>
      </w:r>
    </w:p>
    <w:bookmarkStart w:id="24" w:name="word-count-872"/>
    <w:p>
      <w:pPr>
        <w:pStyle w:val="Heading3"/>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in United Arab Emirates Dubai</dc:title>
  <dc:creator/>
  <dc:language>en</dc:language>
  <cp:keywords/>
  <dcterms:created xsi:type="dcterms:W3CDTF">2026-07-21T04:52:40Z</dcterms:created>
  <dcterms:modified xsi:type="dcterms:W3CDTF">2026-07-21T04:52:40Z</dcterms:modified>
</cp:coreProperties>
</file>

<file path=docProps/custom.xml><?xml version="1.0" encoding="utf-8"?>
<Properties xmlns="http://schemas.openxmlformats.org/officeDocument/2006/custom-properties" xmlns:vt="http://schemas.openxmlformats.org/officeDocument/2006/docPropsVTypes"/>
</file>