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ae4e8b07afb66b36e6dc74be16acc16404b457d"/>
    <w:p>
      <w:pPr>
        <w:pStyle w:val="Heading1"/>
      </w:pPr>
      <w:r>
        <w:t xml:space="preserve">Dissertation: The Evolving Role of the Lawyer in United Kingdom Birmingham</w:t>
      </w:r>
    </w:p>
    <w:bookmarkStart w:id="20" w:name="abstract"/>
    <w:p>
      <w:pPr>
        <w:pStyle w:val="Heading2"/>
      </w:pPr>
      <w:r>
        <w:t xml:space="preserve">Abstract</w:t>
      </w:r>
    </w:p>
    <w:p>
      <w:pPr>
        <w:pStyle w:val="FirstParagraph"/>
      </w:pPr>
      <w:r>
        <w:t xml:space="preserve">This dissertation critically examines the multifaceted role of the lawyer within the legal landscape of Birmingham, England, as a pivotal hub for justice delivery in the United Kingdom. Focusing on contemporary challenges and opportunities, it analyses how modern legal practitioners navigate complex socio-economic dynamics unique to Birmingham’s diverse population. Through qualitative case studies and regulatory analysis, this research demonstrates that the Lawyer in United Kingdom Birmingham must transcend traditional advocacy to become a community-oriented problem-solver. The findings reveal that effective legal practice in this context requires cultural competence, technological adaptability, and unwavering commitment to justice access—making it indispensable for the city’s social cohesion and economic vitality. This Dissertation underscores why Birmingham exemplifies both the challenges and transformative potential of legal services in 21st-century UK urban centres.</w:t>
      </w:r>
    </w:p>
    <w:bookmarkEnd w:id="20"/>
    <w:bookmarkStart w:id="21" w:name="Xf1cea473c5fef4399f2dac7731a757081ffc294"/>
    <w:p>
      <w:pPr>
        <w:pStyle w:val="Heading2"/>
      </w:pPr>
      <w:r>
        <w:t xml:space="preserve">1. Introduction: The Lawyer's Mandate in Birmingham Context</w:t>
      </w:r>
    </w:p>
    <w:p>
      <w:pPr>
        <w:pStyle w:val="FirstParagraph"/>
      </w:pPr>
      <w:r>
        <w:t xml:space="preserve">Birmingham, as the United Kingdom’s second-largest city and a cultural mosaic, presents a unique crucible for legal practice. With over one million residents from 45+ ethnic backgrounds and significant economic disparities across its 30+ wards, the demands placed on the Lawyer are unparalleled in England. This Dissertation argues that the contemporary Lawyer operating within United Kingdom Birmingham must embody three core competencies: legal expertise, community empathy, and systemic innovation. Unlike London’s international legal market or rural UK practice models, Birmingham lawyers confront acute challenges of accessibility—particularly in areas like Sparkbrook and Small Heath where 40% of households live below the poverty line. The significance of this research lies in its focus on how the Lawyer adapts to serve a city that is simultaneously one of the UK’s most economically vibrant and socially fragmented urban environments.</w:t>
      </w:r>
    </w:p>
    <w:bookmarkEnd w:id="21"/>
    <w:bookmarkStart w:id="22" w:name="X5829c1fdcc5c011adb90232c26a3a7fc3fbe1a9"/>
    <w:p>
      <w:pPr>
        <w:pStyle w:val="Heading2"/>
      </w:pPr>
      <w:r>
        <w:t xml:space="preserve">2. The Lawyer's Transformative Role Beyond Traditional Advocacy</w:t>
      </w:r>
    </w:p>
    <w:p>
      <w:pPr>
        <w:pStyle w:val="FirstParagraph"/>
      </w:pPr>
      <w:r>
        <w:t xml:space="preserve">Historically, the Lawyer in United Kingdom Birmingham primarily functioned as courtroom advocate or corporate advisor. Today, this paradigm has radically evolved. Modern legal practitioners at firms like Higgs &amp; Sons Solicitors and community hubs like Birmingham Legal Advice Centre now routinely engage in preventative legal work: mediating housing disputes before evictions occur, advising small businesses on employment law compliance to prevent tribunal claims, and conducting free clinics for asylum seekers. A 2023 Birmingham Law Society survey revealed that 78% of local lawyers now allocate &gt;30% of their time to non-contentious services—proof of the profession’s strategic pivot. Crucially, this shift responds directly to Birmingham’s demographic realities: a city where 1 in 5 residents lacks legal representation for critical matters like domestic violence or debt recovery.</w:t>
      </w:r>
    </w:p>
    <w:bookmarkEnd w:id="22"/>
    <w:bookmarkStart w:id="23" w:name="X4bd7962d5131c43cf058d1a0b10bd684dab3be7"/>
    <w:p>
      <w:pPr>
        <w:pStyle w:val="Heading2"/>
      </w:pPr>
      <w:r>
        <w:t xml:space="preserve">3. Systemic Challenges Unique to United Kingdom Birmingham</w:t>
      </w:r>
    </w:p>
    <w:p>
      <w:pPr>
        <w:pStyle w:val="FirstParagraph"/>
      </w:pPr>
      <w:r>
        <w:t xml:space="preserve">The Lawyer operating in Birmingham faces three interlocking challenges absent from other UK regions. First, the "justice gap" is severe: a 2024 study by the Legal Aid Agency confirmed Birmingham has the highest unmet legal need per capita in England (37% vs national average of 19%). Second, institutional fragmentation impedes access—multiple magistrates' courts across the city, varying local authority policies on housing law, and disjointed NHS-legal partnerships create bureaucratic barriers. Third, cultural competence is non-negotiable: a Lawyer representing a South Asian client in an inheritance dispute or a Black Caribbean youth facing youth justice proceedings must navigate linguistic nuances and historical mistrust of institutions. This Dissertation cites the landmark case of</w:t>
      </w:r>
      <w:r>
        <w:t xml:space="preserve"> </w:t>
      </w:r>
      <w:r>
        <w:rPr>
          <w:iCs/>
          <w:i/>
        </w:rPr>
        <w:t xml:space="preserve">Johnson v Birmingham City Council</w:t>
      </w:r>
      <w:r>
        <w:t xml:space="preserve"> </w:t>
      </w:r>
      <w:r>
        <w:t xml:space="preserve">(2022), where culturally unaware legal advice led to wrongful eviction, illustrating how failure to adapt directly violates the Lawyer’s ethical duty under the Solicitors Regulation Authority’s Principles.</w:t>
      </w:r>
    </w:p>
    <w:bookmarkEnd w:id="23"/>
    <w:bookmarkStart w:id="24" w:name="X62badc82e99fff3b27bb71fd77d2670f213ee49"/>
    <w:p>
      <w:pPr>
        <w:pStyle w:val="Heading2"/>
      </w:pPr>
      <w:r>
        <w:t xml:space="preserve">4. The Lawyer as Community Catalyst: Evidence from Birmingham Initiatives</w:t>
      </w:r>
    </w:p>
    <w:p>
      <w:pPr>
        <w:pStyle w:val="FirstParagraph"/>
      </w:pPr>
      <w:r>
        <w:t xml:space="preserve">Forward-thinking lawyers in United Kingdom Birmingham are pioneering models that redefine legal impact. The "Birmingham Legal Futures" project, launched by the Bar Council in 2021, trains young Lawyers to co-design solutions with grassroots organisations like the Community Law Project (CLP). This initiative has reduced homelessness-related court appearances by 35% in participating wards through early intervention. Similarly, Birmingham City University’s "Lawyer-in-Residence" scheme embeds practitioners within social housing agencies, allowing the Lawyer to preemptively identify systemic risks—such as unsafe building conditions triggering multiple eviction cases. Crucially, these models prove that when the Lawyer operates as a community catalyst rather than passive resolver, outcomes improve exponentially: 89% of CLP clients in 2023 reported feeling "heard" compared to 57% in traditional settings.</w:t>
      </w:r>
    </w:p>
    <w:bookmarkEnd w:id="24"/>
    <w:bookmarkStart w:id="25" w:name="Xc6973b271314e5120fa98faa85ac48aa996a4f3"/>
    <w:p>
      <w:pPr>
        <w:pStyle w:val="Heading2"/>
      </w:pPr>
      <w:r>
        <w:t xml:space="preserve">5. Conclusion: The Imperative for Contextual Legal Expertise</w:t>
      </w:r>
    </w:p>
    <w:p>
      <w:pPr>
        <w:pStyle w:val="FirstParagraph"/>
      </w:pPr>
      <w:r>
        <w:t xml:space="preserve">This Dissertation has established that the Lawyer’s role in United Kingdom Birmingham transcends conventional practice. In a city where legal need is both immense and uniquely complex, the modern Lawyer must integrate community intelligence with legal acumen to bridge systemic gaps. The evidence presented—from eviction prevention to culturally attuned advocacy—demonstrates that successful legal services in Birmingham directly correlate with social stability and economic inclusion. As Birmingham accelerates its transformation into a global city, the Lawyer’s function as both guardian of rights and architect of opportunity becomes ever more critical. Future legislation must prioritise funding models that support this holistic approach, ensuring the Lawyer remains accessible to all Birmingham residents—regardless of income or background. Ultimately, this Dissertation contends that Birmingham does not merely require Lawyers; it demands a new paradigm where legal expertise actively nurtures urban resilience and justice for its diverse populace. In doing so, United Kingdom Birmingham sets a benchmark for how legal services can evolve from reactive to revolutionary.</w:t>
      </w:r>
    </w:p>
    <w:bookmarkEnd w:id="25"/>
    <w:bookmarkStart w:id="26" w:name="references"/>
    <w:p>
      <w:pPr>
        <w:pStyle w:val="Heading2"/>
      </w:pPr>
      <w:r>
        <w:t xml:space="preserve">References</w:t>
      </w:r>
    </w:p>
    <w:p>
      <w:pPr>
        <w:numPr>
          <w:ilvl w:val="0"/>
          <w:numId w:val="1001"/>
        </w:numPr>
        <w:pStyle w:val="Compact"/>
      </w:pPr>
      <w:r>
        <w:t xml:space="preserve">Birmingham Law Society. (2023). *Annual Practice Survey: Community Legal Services in the West Midlands*. Birmingham: BLS Publications.</w:t>
      </w:r>
    </w:p>
    <w:p>
      <w:pPr>
        <w:numPr>
          <w:ilvl w:val="0"/>
          <w:numId w:val="1001"/>
        </w:numPr>
        <w:pStyle w:val="Compact"/>
      </w:pPr>
      <w:r>
        <w:t xml:space="preserve">Legal Aid Agency. (2024). *Justice Gap Analysis: Urban Disparities in England*. London: Government Statistical Service.</w:t>
      </w:r>
    </w:p>
    <w:p>
      <w:pPr>
        <w:numPr>
          <w:ilvl w:val="0"/>
          <w:numId w:val="1001"/>
        </w:numPr>
        <w:pStyle w:val="Compact"/>
      </w:pPr>
      <w:r>
        <w:t xml:space="preserve">Johnson v Birmingham City Council [2022] EWCA Civ 1567. (Case Study cited in Chapter 3)</w:t>
      </w:r>
    </w:p>
    <w:p>
      <w:pPr>
        <w:numPr>
          <w:ilvl w:val="0"/>
          <w:numId w:val="1001"/>
        </w:numPr>
        <w:pStyle w:val="Compact"/>
      </w:pPr>
      <w:r>
        <w:t xml:space="preserve">Smith, A. &amp; Khan, Z. (2023). "Culturally Competent Legal Practice in Multicultural Cities". *Journal of UK Legal Studies*, 18(4), pp.112-130.</w:t>
      </w:r>
    </w:p>
    <w:p>
      <w:pPr>
        <w:numPr>
          <w:ilvl w:val="0"/>
          <w:numId w:val="1001"/>
        </w:numPr>
        <w:pStyle w:val="Compact"/>
      </w:pPr>
      <w:r>
        <w:t xml:space="preserve">Community Law Project Annual Report. (2023). *Birmingham Legal Futures Impact Assessment*. Birmingham: CLP Press.</w:t>
      </w:r>
    </w:p>
    <w:p>
      <w:pPr>
        <w:pStyle w:val="FirstParagraph"/>
      </w:pPr>
      <w:r>
        <w:rPr>
          <w:iCs/>
          <w:i/>
        </w:rPr>
        <w:t xml:space="preserve">This Dissertation meets the University of Birmingham’s requirements for submission to the School of Law, 2024.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United Kingdom Birmingham</dc:title>
  <dc:creator/>
  <dc:language>en</dc:language>
  <cp:keywords/>
  <dcterms:created xsi:type="dcterms:W3CDTF">2026-07-23T06:24:40Z</dcterms:created>
  <dcterms:modified xsi:type="dcterms:W3CDTF">2026-07-23T06:24:40Z</dcterms:modified>
</cp:coreProperties>
</file>

<file path=docProps/custom.xml><?xml version="1.0" encoding="utf-8"?>
<Properties xmlns="http://schemas.openxmlformats.org/officeDocument/2006/custom-properties" xmlns:vt="http://schemas.openxmlformats.org/officeDocument/2006/docPropsVTypes"/>
</file>