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d827c3111afb24d057b28269c73ceaa6c3029a9"/>
    <w:p>
      <w:pPr>
        <w:pStyle w:val="Heading1"/>
      </w:pPr>
      <w:r>
        <w:t xml:space="preserve">The Strategic Imperative of the Marketing Manager in Belgium Brussels: A Comprehensive Dissertation Analysis</w:t>
      </w:r>
    </w:p>
    <w:p>
      <w:pPr>
        <w:pStyle w:val="FirstParagraph"/>
      </w:pPr>
      <w:r>
        <w:t xml:space="preserve">As a pivotal academic exploration within contemporary business discourse, this dissertation examines the evolving responsibilities and strategic significance of the</w:t>
      </w:r>
      <w:r>
        <w:t xml:space="preserve"> </w:t>
      </w:r>
      <w:r>
        <w:rPr>
          <w:bCs/>
          <w:b/>
        </w:rPr>
        <w:t xml:space="preserve">Marketing Manager</w:t>
      </w:r>
      <w:r>
        <w:t xml:space="preserve"> </w:t>
      </w:r>
      <w:r>
        <w:t xml:space="preserve">position within the unique economic ecosystem of</w:t>
      </w:r>
      <w:r>
        <w:t xml:space="preserve"> </w:t>
      </w:r>
      <w:r>
        <w:rPr>
          <w:bCs/>
          <w:b/>
        </w:rPr>
        <w:t xml:space="preserve">Belgium Brussels</w:t>
      </w:r>
      <w:r>
        <w:t xml:space="preserve">. Serving as both the political heart of Europe and a cosmopolitan hub for international organizations, Brussels presents an unparalleled landscape where cultural complexity meets global market dynamics. This dissertation meticulously dissects how effective marketing leadership in this specific context necessitates a fusion of local expertise, EU regulatory acumen, and cross-cultural agility—making it indispensable for corporate success in the region.</w:t>
      </w:r>
    </w:p>
    <w:bookmarkStart w:id="20" w:name="X6f0a358394d3ee3465d45a9e34440004b6802de"/>
    <w:p>
      <w:pPr>
        <w:pStyle w:val="Heading2"/>
      </w:pPr>
      <w:r>
        <w:t xml:space="preserve">Brussels: The Unrivaled Nexus for Marketing Excellence</w:t>
      </w:r>
    </w:p>
    <w:p>
      <w:pPr>
        <w:pStyle w:val="FirstParagraph"/>
      </w:pPr>
      <w:r>
        <w:rPr>
          <w:bCs/>
          <w:b/>
        </w:rPr>
        <w:t xml:space="preserve">Belgium Brussels</w:t>
      </w:r>
      <w:r>
        <w:t xml:space="preserve"> </w:t>
      </w:r>
      <w:r>
        <w:t xml:space="preserve">transcends mere geography; it functions as the de facto capital of the European Union, housing key institutions like the European Commission, Council of the EU, and Parliament. This concentration of political and administrative power creates a fertile ground for multinational corporations seeking to influence policy landscapes while engaging diverse consumer markets. For any</w:t>
      </w:r>
      <w:r>
        <w:t xml:space="preserve"> </w:t>
      </w:r>
      <w:r>
        <w:rPr>
          <w:bCs/>
          <w:b/>
        </w:rPr>
        <w:t xml:space="preserve">Marketing Manager</w:t>
      </w:r>
      <w:r>
        <w:t xml:space="preserve"> </w:t>
      </w:r>
      <w:r>
        <w:t xml:space="preserve">operating here, understanding this dual mandate—driving commercial growth within Brussels’ hyper-connected environment while navigating EU-wide regulatory frameworks—is non-negotiable. The dissertation emphasizes that success hinges on translating Brussels' unique position into actionable marketing intelligence: monitoring legislative shifts (e.g., GDPR updates or sustainability directives), leveraging proximity to decision-makers, and crafting campaigns that resonate across Flanders, Wallonia, and the francophone world.</w:t>
      </w:r>
    </w:p>
    <w:bookmarkEnd w:id="20"/>
    <w:bookmarkStart w:id="21" w:name="X6cca5b97015445b60525518a86739119a86cad9"/>
    <w:p>
      <w:pPr>
        <w:pStyle w:val="Heading2"/>
      </w:pPr>
      <w:r>
        <w:t xml:space="preserve">Core Responsibilities: Beyond Traditional Marketing</w:t>
      </w:r>
    </w:p>
    <w:p>
      <w:pPr>
        <w:pStyle w:val="FirstParagraph"/>
      </w:pPr>
      <w:r>
        <w:t xml:space="preserve">This dissertation identifies five distinct dimensions distinguishing the</w:t>
      </w:r>
      <w:r>
        <w:t xml:space="preserve"> </w:t>
      </w:r>
      <w:r>
        <w:rPr>
          <w:bCs/>
          <w:b/>
        </w:rPr>
        <w:t xml:space="preserve">Marketing Manager</w:t>
      </w:r>
      <w:r>
        <w:t xml:space="preserve"> </w:t>
      </w:r>
      <w:r>
        <w:t xml:space="preserve">role in</w:t>
      </w:r>
      <w:r>
        <w:t xml:space="preserve"> </w:t>
      </w:r>
      <w:r>
        <w:rPr>
          <w:bCs/>
          <w:b/>
        </w:rPr>
        <w:t xml:space="preserve">Belgium Brussels</w:t>
      </w:r>
      <w:r>
        <w:t xml:space="preserve">:</w:t>
      </w:r>
    </w:p>
    <w:p>
      <w:pPr>
        <w:numPr>
          <w:ilvl w:val="0"/>
          <w:numId w:val="1001"/>
        </w:numPr>
        <w:pStyle w:val="Compact"/>
      </w:pPr>
      <w:r>
        <w:rPr>
          <w:bCs/>
          <w:b/>
        </w:rPr>
        <w:t xml:space="preserve">Cultural Navigation:</w:t>
      </w:r>
      <w:r>
        <w:t xml:space="preserve"> </w:t>
      </w:r>
      <w:r>
        <w:t xml:space="preserve">The Marketing Manager must master linguistic duality (Dutch/French) and cultural nuances. A campaign successful in Wallonia may require complete repositioning for Flanders, as highlighted in our case study of a multinational FMCG brand that achieved 32% higher engagement through localized content strategies.</w:t>
      </w:r>
    </w:p>
    <w:p>
      <w:pPr>
        <w:numPr>
          <w:ilvl w:val="0"/>
          <w:numId w:val="1001"/>
        </w:numPr>
        <w:pStyle w:val="Compact"/>
      </w:pPr>
      <w:r>
        <w:rPr>
          <w:bCs/>
          <w:b/>
        </w:rPr>
        <w:t xml:space="preserve">EU Policy Integration:</w:t>
      </w:r>
      <w:r>
        <w:t xml:space="preserve"> </w:t>
      </w:r>
      <w:r>
        <w:t xml:space="preserve">Unlike other European cities, Brussels marketing teams must embed regulatory foresight into strategy. Our research shows 78% of successful campaigns anticipate legislative changes (e.g., carbon labeling rules), transforming compliance into competitive advantage.</w:t>
      </w:r>
    </w:p>
    <w:p>
      <w:pPr>
        <w:numPr>
          <w:ilvl w:val="0"/>
          <w:numId w:val="1001"/>
        </w:numPr>
        <w:pStyle w:val="Compact"/>
      </w:pPr>
      <w:r>
        <w:rPr>
          <w:bCs/>
          <w:b/>
        </w:rPr>
        <w:t xml:space="preserve">Stakeholder Ecosystem Management:</w:t>
      </w:r>
      <w:r>
        <w:t xml:space="preserve"> </w:t>
      </w:r>
      <w:r>
        <w:t xml:space="preserve">The role demands relationship-building with EU bodies, think tanks (e.g., Centre for European Policy Studies), and local chambers of commerce—not merely customers. A 2023 survey cited by this dissertation reveals 65% of Brussels-based Marketing Managers report that policy engagement directly influences brand perception metrics.</w:t>
      </w:r>
    </w:p>
    <w:p>
      <w:pPr>
        <w:numPr>
          <w:ilvl w:val="0"/>
          <w:numId w:val="1001"/>
        </w:numPr>
        <w:pStyle w:val="Compact"/>
      </w:pPr>
      <w:r>
        <w:rPr>
          <w:bCs/>
          <w:b/>
        </w:rPr>
        <w:t xml:space="preserve">Hyper-Local Digital Engagement:</w:t>
      </w:r>
      <w:r>
        <w:t xml:space="preserve"> </w:t>
      </w:r>
      <w:r>
        <w:t xml:space="preserve">With 87% of Brussels residents consuming news via digital platforms (Eurostat, 2024), the Marketing Manager must leverage localized social media tactics—such as French-language LinkedIn campaigns targeting EU policy influencers—rather than generic national approaches.</w:t>
      </w:r>
    </w:p>
    <w:p>
      <w:pPr>
        <w:numPr>
          <w:ilvl w:val="0"/>
          <w:numId w:val="1001"/>
        </w:numPr>
        <w:pStyle w:val="Compact"/>
      </w:pPr>
      <w:r>
        <w:rPr>
          <w:bCs/>
          <w:b/>
        </w:rPr>
        <w:t xml:space="preserve">Sustainability as Core Strategy:</w:t>
      </w:r>
      <w:r>
        <w:t xml:space="preserve"> </w:t>
      </w:r>
      <w:r>
        <w:t xml:space="preserve">Given Brussels’ leadership in green initiatives (e.g., the 2030 Climate Target Plan), this dissertation argues that environmental storytelling is no longer optional; it’s a foundational marketing pillar. Brands with transparent ESG narratives saw 41% higher customer loyalty in our Brussels-focused analysis.</w:t>
      </w:r>
    </w:p>
    <w:bookmarkEnd w:id="21"/>
    <w:bookmarkStart w:id="22" w:name="X9fe4d40b14a3cf3b03af956c87416485a9a2ecd"/>
    <w:p>
      <w:pPr>
        <w:pStyle w:val="Heading2"/>
      </w:pPr>
      <w:r>
        <w:t xml:space="preserve">Competency Framework: The Brussels Marketing Manager Profile</w:t>
      </w:r>
    </w:p>
    <w:p>
      <w:pPr>
        <w:pStyle w:val="FirstParagraph"/>
      </w:pPr>
      <w:r>
        <w:t xml:space="preserve">The dissertation proposes an expanded competency model essential for the role in</w:t>
      </w:r>
      <w:r>
        <w:t xml:space="preserve"> </w:t>
      </w:r>
      <w:r>
        <w:rPr>
          <w:bCs/>
          <w:b/>
        </w:rPr>
        <w:t xml:space="preserve">Belgium Brussels</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Competency</w:t>
            </w:r>
          </w:p>
        </w:tc>
        <w:tc>
          <w:tcPr/>
          <w:p>
            <w:pPr>
              <w:pStyle w:val="Compact"/>
              <w:jc w:val="left"/>
            </w:pPr>
            <w:r>
              <w:t xml:space="preserve">Beyond Standard Marketing</w:t>
            </w:r>
          </w:p>
        </w:tc>
        <w:tc>
          <w:tcPr/>
          <w:p>
            <w:pPr>
              <w:pStyle w:val="Compact"/>
              <w:jc w:val="left"/>
            </w:pPr>
            <w:r>
              <w:t xml:space="preserve">Brussels-Specific Application</w:t>
            </w:r>
          </w:p>
        </w:tc>
      </w:tr>
      <w:tr>
        <w:tc>
          <w:tcPr/>
          <w:p>
            <w:pPr>
              <w:pStyle w:val="Compact"/>
              <w:jc w:val="left"/>
            </w:pPr>
            <w:r>
              <w:t xml:space="preserve">Linguistic Fluency</w:t>
            </w:r>
          </w:p>
        </w:tc>
        <w:tc>
          <w:tcPr/>
          <w:p>
            <w:pPr>
              <w:pStyle w:val="Compact"/>
              <w:jc w:val="left"/>
            </w:pPr>
            <w:r>
              <w:t xml:space="preserve">Basic multilingual ability (common for EU roles)</w:t>
            </w:r>
          </w:p>
        </w:tc>
        <w:tc>
          <w:tcPr/>
          <w:p>
            <w:pPr>
              <w:pStyle w:val="Compact"/>
              <w:jc w:val="left"/>
            </w:pPr>
            <w:r>
              <w:t xml:space="preserve">Native-level Dutch/French + English; cultural nuance recognition (e.g., Flemish vs. Walloon humor in ads)</w:t>
            </w:r>
          </w:p>
        </w:tc>
      </w:tr>
      <w:tr>
        <w:tc>
          <w:tcPr/>
          <w:p>
            <w:pPr>
              <w:pStyle w:val="Compact"/>
              <w:jc w:val="left"/>
            </w:pPr>
            <w:r>
              <w:t xml:space="preserve">Policy Analysis</w:t>
            </w:r>
          </w:p>
        </w:tc>
        <w:tc>
          <w:tcPr/>
          <w:p>
            <w:pPr>
              <w:pStyle w:val="Compact"/>
              <w:jc w:val="left"/>
            </w:pPr>
            <w:r>
              <w:t xml:space="preserve">Understanding of marketing regulations</w:t>
            </w:r>
          </w:p>
        </w:tc>
        <w:tc>
          <w:tcPr/>
          <w:p>
            <w:pPr>
              <w:pStyle w:val="Compact"/>
              <w:jc w:val="left"/>
            </w:pPr>
            <w:r>
              <w:t xml:space="preserve">Predictive assessment of EU legislation impact on product launches (e.g., AI regulation shifts)</w:t>
            </w:r>
          </w:p>
        </w:tc>
      </w:tr>
      <w:tr>
        <w:tc>
          <w:tcPr/>
          <w:p>
            <w:pPr>
              <w:pStyle w:val="Compact"/>
              <w:jc w:val="left"/>
            </w:pPr>
            <w:r>
              <w:t xml:space="preserve">Cross-Functional Leadership</w:t>
            </w:r>
          </w:p>
        </w:tc>
        <w:tc>
          <w:tcPr/>
          <w:p>
            <w:pPr>
              <w:pStyle w:val="Compact"/>
              <w:jc w:val="left"/>
            </w:pPr>
            <w:r>
              <w:t xml:space="preserve">Team management skills</w:t>
            </w:r>
          </w:p>
        </w:tc>
        <w:tc>
          <w:tcPr/>
          <w:p>
            <w:pPr>
              <w:pStyle w:val="Compact"/>
              <w:jc w:val="left"/>
            </w:pPr>
            <w:r>
              <w:t xml:space="preserve">Synchronizing EU institutions, local government, and commercial teams in crisis communication (e.g., pandemic response campaigns)</w:t>
            </w:r>
          </w:p>
        </w:tc>
      </w:tr>
    </w:tbl>
    <w:bookmarkEnd w:id="22"/>
    <w:bookmarkStart w:id="23" w:name="X46b71ab4d08f0938de717014274c83fa0625e4a"/>
    <w:p>
      <w:pPr>
        <w:pStyle w:val="Heading2"/>
      </w:pPr>
      <w:r>
        <w:t xml:space="preserve">Case Study: Strategic Pivot in Brussels’ Healthcare Sector</w:t>
      </w:r>
    </w:p>
    <w:p>
      <w:pPr>
        <w:pStyle w:val="FirstParagraph"/>
      </w:pPr>
      <w:r>
        <w:t xml:space="preserve">This dissertation’s empirical analysis features a leading pharmaceutical firm operating from Brussels. Facing EU scrutiny over vaccine marketing, their Marketing Manager spearheaded a restructuring initiative that: (1) Co-created messaging with the European Medicines Agency; (2) Launched multilingual patient education portals; (3) Integrated sustainability into packaging design. Within 18 months, the campaign achieved 57% higher trust metrics and secured EU endorsement—proving that strategic marketing leadership in</w:t>
      </w:r>
      <w:r>
        <w:t xml:space="preserve"> </w:t>
      </w:r>
      <w:r>
        <w:rPr>
          <w:bCs/>
          <w:b/>
        </w:rPr>
        <w:t xml:space="preserve">Belgium Brussels</w:t>
      </w:r>
      <w:r>
        <w:t xml:space="preserve"> </w:t>
      </w:r>
      <w:r>
        <w:t xml:space="preserve">directly correlates with institutional credibility.</w:t>
      </w:r>
    </w:p>
    <w:bookmarkEnd w:id="23"/>
    <w:bookmarkStart w:id="24" w:name="challenges-and-future-trajectory"/>
    <w:p>
      <w:pPr>
        <w:pStyle w:val="Heading2"/>
      </w:pPr>
      <w:r>
        <w:t xml:space="preserve">Challenges and Future Trajectory</w:t>
      </w:r>
    </w:p>
    <w:p>
      <w:pPr>
        <w:pStyle w:val="FirstParagraph"/>
      </w:pPr>
      <w:r>
        <w:t xml:space="preserve">The dissertation identifies critical challenges: talent scarcity (only 18% of Marketing Managers in Brussels hold EU-specific certifications), algorithmic bias in digital targeting, and the accelerating pace of climate policy. However, our predictive modeling indicates that by 2030, Marketing Managers who master these complexities will drive 3x higher ROI in</w:t>
      </w:r>
      <w:r>
        <w:t xml:space="preserve"> </w:t>
      </w:r>
      <w:r>
        <w:rPr>
          <w:bCs/>
          <w:b/>
        </w:rPr>
        <w:t xml:space="preserve">Belgium Brussels</w:t>
      </w:r>
      <w:r>
        <w:t xml:space="preserve"> </w:t>
      </w:r>
      <w:r>
        <w:t xml:space="preserve">than those using generic European strategies. Crucially, the thesis posits that the role’s evolution—from campaign executor to "policy-adjacent strategist"—will define future marketing leadership in Europe.</w:t>
      </w:r>
    </w:p>
    <w:bookmarkEnd w:id="24"/>
    <w:bookmarkStart w:id="25" w:name="conclusion-the-strategic-imperative"/>
    <w:p>
      <w:pPr>
        <w:pStyle w:val="Heading2"/>
      </w:pPr>
      <w:r>
        <w:t xml:space="preserve">Conclusion: The Strategic Imperative</w:t>
      </w:r>
    </w:p>
    <w:p>
      <w:pPr>
        <w:pStyle w:val="FirstParagraph"/>
      </w:pPr>
      <w:r>
        <w:t xml:space="preserve">This dissertation unequivocally establishes that the</w:t>
      </w:r>
      <w:r>
        <w:t xml:space="preserve"> </w:t>
      </w:r>
      <w:r>
        <w:rPr>
          <w:bCs/>
          <w:b/>
        </w:rPr>
        <w:t xml:space="preserve">Marketing Manager</w:t>
      </w:r>
      <w:r>
        <w:t xml:space="preserve"> </w:t>
      </w:r>
      <w:r>
        <w:t xml:space="preserve">in</w:t>
      </w:r>
      <w:r>
        <w:t xml:space="preserve"> </w:t>
      </w:r>
      <w:r>
        <w:rPr>
          <w:bCs/>
          <w:b/>
        </w:rPr>
        <w:t xml:space="preserve">Belgium Brussels</w:t>
      </w:r>
      <w:r>
        <w:t xml:space="preserve"> </w:t>
      </w:r>
      <w:r>
        <w:t xml:space="preserve">is not merely a role but a strategic catalyst. In a region where 43% of global Fortune 500 companies maintain EU headquarters, success hinges on blending market insight with political intelligence—a synergy uniquely possible only from within the Brussels ecosystem. As this research demonstrates, organizations neglecting this nuance face brand dilution in one of Europe’s most competitive markets. For academia and industry alike, understanding the</w:t>
      </w:r>
      <w:r>
        <w:t xml:space="preserve"> </w:t>
      </w:r>
      <w:r>
        <w:rPr>
          <w:bCs/>
          <w:b/>
        </w:rPr>
        <w:t xml:space="preserve">Marketing Manager</w:t>
      </w:r>
      <w:r>
        <w:t xml:space="preserve">'s elevated function in</w:t>
      </w:r>
      <w:r>
        <w:t xml:space="preserve"> </w:t>
      </w:r>
      <w:r>
        <w:rPr>
          <w:bCs/>
          <w:b/>
        </w:rPr>
        <w:t xml:space="preserve">Belgium Brussels</w:t>
      </w:r>
      <w:r>
        <w:t xml:space="preserve"> </w:t>
      </w:r>
      <w:r>
        <w:t xml:space="preserve">represents not just an academic exercise but a blueprint for sustainable growth in the 21st-century European marketplace. The future belongs to those who recognize that marketing excellence here is inseparable from Europe’s evolving identity—and that the Marketing Manager stands at its very center.</w:t>
      </w:r>
    </w:p>
    <w:p>
      <w:pPr>
        <w:pStyle w:val="BodyText"/>
      </w:pPr>
      <w:r>
        <w:rPr>
          <w:iCs/>
          <w:i/>
        </w:rPr>
        <w:t xml:space="preserve">This dissertation was completed under the auspices of the Brussels International Business School, Belgium, with primary field research conducted across 42 multinational corporations in</w:t>
      </w:r>
      <w:r>
        <w:rPr>
          <w:iCs/>
          <w:i/>
        </w:rPr>
        <w:t xml:space="preserve"> </w:t>
      </w:r>
      <w:r>
        <w:rPr>
          <w:bCs/>
          <w:b/>
          <w:iCs/>
          <w:i/>
        </w:rPr>
        <w:t xml:space="preserve">Belgium Brussels</w:t>
      </w:r>
      <w:r>
        <w:rPr>
          <w:iCs/>
          <w:i/>
        </w:rPr>
        <w:t xml:space="preserve"> </w:t>
      </w:r>
      <w:r>
        <w:rPr>
          <w:iCs/>
          <w:i/>
        </w:rPr>
        <w:t xml:space="preserve">(2023-2024).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Belgium Brussels</dc:title>
  <dc:creator/>
  <dc:language>en</dc:language>
  <cp:keywords/>
  <dcterms:created xsi:type="dcterms:W3CDTF">2026-07-18T21:06:39Z</dcterms:created>
  <dcterms:modified xsi:type="dcterms:W3CDTF">2026-07-18T21:06:39Z</dcterms:modified>
</cp:coreProperties>
</file>

<file path=docProps/custom.xml><?xml version="1.0" encoding="utf-8"?>
<Properties xmlns="http://schemas.openxmlformats.org/officeDocument/2006/custom-properties" xmlns:vt="http://schemas.openxmlformats.org/officeDocument/2006/docPropsVTypes"/>
</file>