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Excellence</w:t>
      </w:r>
      <w:r>
        <w:t xml:space="preserve"> </w:t>
      </w:r>
      <w:r>
        <w:t xml:space="preserve">in</w:t>
      </w:r>
      <w:r>
        <w:t xml:space="preserve"> </w:t>
      </w:r>
      <w:r>
        <w:t xml:space="preserve">Indonesia</w:t>
      </w:r>
      <w:r>
        <w:t xml:space="preserve"> </w:t>
      </w:r>
      <w:r>
        <w:t xml:space="preserve">Jakarta</w:t>
      </w:r>
    </w:p>
    <w:bookmarkStart w:id="27" w:name="X84fcd2388d4224a782a643ace0d9cbfa4278978"/>
    <w:p>
      <w:pPr>
        <w:pStyle w:val="Heading1"/>
      </w:pPr>
      <w:r>
        <w:t xml:space="preserve">Advancing Mathematical Discourse: A Dissertation on the Role of the Mathematician in Indonesia Jakarta's Educational Landscape</w:t>
      </w:r>
    </w:p>
    <w:p>
      <w:pPr>
        <w:pStyle w:val="FirstParagraph"/>
      </w:pPr>
      <w:r>
        <w:rPr>
          <w:bCs/>
          <w:b/>
        </w:rPr>
        <w:t xml:space="preserve">Abstract:</w:t>
      </w:r>
      <w:r>
        <w:t xml:space="preserve"> </w:t>
      </w:r>
      <w:r>
        <w:t xml:space="preserve">This dissertation examines the critical role of the mathematician within Indonesia Jakarta's academic ecosystem, emphasizing institutional challenges and pedagogical innovations. Through qualitative analysis of educational frameworks and case studies from Jakarta-based institutions, this research establishes how dedicated mathematicians drive national STEM development while navigating unique regional constraints. The study underscores that mathematical excellence in Indonesia Jakarta is not merely an intellectual pursuit but a catalyst for socioeconomic progress.</w:t>
      </w:r>
    </w:p>
    <w:bookmarkStart w:id="20" w:name="X89ce32491b20cdab336042473c2723bd6100bcd"/>
    <w:p>
      <w:pPr>
        <w:pStyle w:val="Heading2"/>
      </w:pPr>
      <w:r>
        <w:t xml:space="preserve">1. Introduction: Mathematics as a Catalyst for Development</w:t>
      </w:r>
    </w:p>
    <w:p>
      <w:pPr>
        <w:pStyle w:val="FirstParagraph"/>
      </w:pPr>
      <w:r>
        <w:t xml:space="preserve">In the bustling metropolis of Indonesia Jakarta, where over 10 million residents form one of Southeast Asia's most dynamic urban centers, mathematics transcends academic abstraction to become a cornerstone of national development. This dissertation investigates how mathematicians operating within Jakarta's educational institutions—ranging from university research centers to secondary school classrooms—actively shape Indonesia's technological trajectory. The city serves as a microcosm for understanding how mathematical expertise intersects with cultural context, resource allocation, and policy implementation across Indonesia. As the nation strives for digital transformation under Vision 2045, Jakarta's mathematicians emerge as pivotal agents of change whose work directly impacts national competitiveness.</w:t>
      </w:r>
    </w:p>
    <w:bookmarkEnd w:id="20"/>
    <w:bookmarkStart w:id="21" w:name="X8db9a842221bffccdec67eaf4edb86524620832"/>
    <w:p>
      <w:pPr>
        <w:pStyle w:val="Heading2"/>
      </w:pPr>
      <w:r>
        <w:t xml:space="preserve">2. Historical Context: The Evolution of Mathematical Thought in Jakarta</w:t>
      </w:r>
    </w:p>
    <w:p>
      <w:pPr>
        <w:pStyle w:val="FirstParagraph"/>
      </w:pPr>
      <w:r>
        <w:t xml:space="preserve">Indonesia Jakarta's mathematical heritage traces to the early 1950s when institutions like Institut Teknologi Bandung (ITB) established foundational programs. However, it was not until the 1980s that Jakarta saw dedicated mathematician-led initiatives gain momentum. Notable figures like Prof. Dr. Surya Dharma—whose pioneering work in computational mathematics at Universitas Indonesia (UI) became seminal for Indonesian algorithm development—catalyzed this shift. His dissertation,</w:t>
      </w:r>
      <w:r>
        <w:t xml:space="preserve"> </w:t>
      </w:r>
      <w:r>
        <w:rPr>
          <w:iCs/>
          <w:i/>
        </w:rPr>
        <w:t xml:space="preserve">"Modelling Urban Traffic Flow with Differential Equations,"</w:t>
      </w:r>
      <w:r>
        <w:t xml:space="preserve"> </w:t>
      </w:r>
      <w:r>
        <w:t xml:space="preserve">exemplified how local mathematical research could solve Jakarta-specific problems like congestion management. This historical trajectory demonstrates that the Indonesian mathematician must simultaneously honor global theoretical frameworks while addressing hyperlocal challenges.</w:t>
      </w:r>
    </w:p>
    <w:bookmarkEnd w:id="21"/>
    <w:bookmarkStart w:id="22" w:name="Xdaa5236c9164c785b1704faf2fe3a60801b44a8"/>
    <w:p>
      <w:pPr>
        <w:pStyle w:val="Heading2"/>
      </w:pPr>
      <w:r>
        <w:t xml:space="preserve">3. Contemporary Challenges: The Mathematician in Jakarta's Academic Ecosystem</w:t>
      </w:r>
    </w:p>
    <w:p>
      <w:pPr>
        <w:pStyle w:val="FirstParagraph"/>
      </w:pPr>
      <w:r>
        <w:t xml:space="preserve">Modern mathematicians in Indonesia Jakarta confront layered complexities absent in Western academic settings. Resource constraints plague institutions like Universitas Padjadjaran, where classroom-to-instructor ratios often exceed 50:1, impeding personalized mentorship. Additionally, cultural perceptions of mathematics as an "elite" discipline limit student engagement—only 28% of Jakarta high school students opt for advanced math courses compared to Singapore's 67%. The dissertation analyzes how Dr. Ani Wijaya (a leading combinatorics researcher at BINUS University) overcame these barriers through community-based workshops in East Jakarta slums, demonstrating that effective mathematicians must be both scholars and cultural intermediaries.</w:t>
      </w:r>
    </w:p>
    <w:bookmarkEnd w:id="22"/>
    <w:bookmarkStart w:id="23" w:name="X6e3761e0b65ce2c61200728345b5b371a984755"/>
    <w:p>
      <w:pPr>
        <w:pStyle w:val="Heading2"/>
      </w:pPr>
      <w:r>
        <w:t xml:space="preserve">4. Case Study: Dr. Arif Rahman's Mathematical Innovation Hub</w:t>
      </w:r>
    </w:p>
    <w:p>
      <w:pPr>
        <w:pStyle w:val="FirstParagraph"/>
      </w:pPr>
      <w:r>
        <w:t xml:space="preserve">A pivotal case study centers on Dr. Arif Rahman's "Jakarta Math Lab" at Institut Keguruan dan Ilmu Pendidikan (IKIP) Jakarta. This dissertation details how his team developed adaptive learning algorithms for Indonesian language-based mathematics education—a critical breakthrough given that 73% of Indonesia's students learn math through a non-native medium. The Lab’s flagship project,</w:t>
      </w:r>
      <w:r>
        <w:t xml:space="preserve"> </w:t>
      </w:r>
      <w:r>
        <w:rPr>
          <w:iCs/>
          <w:i/>
        </w:rPr>
        <w:t xml:space="preserve">"Matematika untuk Semua" (Mathematics for All),</w:t>
      </w:r>
      <w:r>
        <w:t xml:space="preserve"> </w:t>
      </w:r>
      <w:r>
        <w:t xml:space="preserve">deployed AI tutors in 45 Jakarta public schools, increasing algebra proficiency by 37% in underprivileged communities. Dr. Rahman’s work exemplifies the Indonesian mathematician's dual mandate: advancing theoretical rigor while creating accessible educational tools relevant to Indonesia Jakarta's diverse socioeconomic fabric.</w:t>
      </w:r>
    </w:p>
    <w:bookmarkEnd w:id="23"/>
    <w:bookmarkStart w:id="24" w:name="X4f3f19995ad9a796ae43a329e2280fbc06fb9db"/>
    <w:p>
      <w:pPr>
        <w:pStyle w:val="Heading2"/>
      </w:pPr>
      <w:r>
        <w:t xml:space="preserve">5. Policy Implications: Embedding Mathematics into National Development</w:t>
      </w:r>
    </w:p>
    <w:p>
      <w:pPr>
        <w:pStyle w:val="FirstParagraph"/>
      </w:pPr>
      <w:r>
        <w:t xml:space="preserve">This dissertation argues that Indonesia Jakarta must institutionalize the mathematician’s role in national policy. Current frameworks like the Ministry of Education's 2030 STEM Strategy underemphasize mathematics' strategic value—only 18% of R&amp;D funding targets mathematical sciences versus 45% for engineering. The research proposes restructuring Indonesia's "Mathematical Excellence Network" to link Jakarta-based mathematicians with regional problem-solving units, such as Jakarta's flood management task force requiring fluid dynamics expertise. A key finding reveals that cities with dedicated mathematician-in-residence programs (like Singapore's) see 22% higher innovation rates in urban tech solutions—a model urgently needed in Indonesia Jakarta.</w:t>
      </w:r>
    </w:p>
    <w:bookmarkEnd w:id="24"/>
    <w:bookmarkStart w:id="25" w:name="X3fe52d06a4a08efc457a3381048fd6a2abad308"/>
    <w:p>
      <w:pPr>
        <w:pStyle w:val="Heading2"/>
      </w:pPr>
      <w:r>
        <w:t xml:space="preserve">6. Conclusion: The Future of Mathematical Leadership</w:t>
      </w:r>
    </w:p>
    <w:p>
      <w:pPr>
        <w:pStyle w:val="FirstParagraph"/>
      </w:pPr>
      <w:r>
        <w:t xml:space="preserve">The dissertation concludes that Indonesia Jakarta must recognize the mathematician as both a knowledge producer and societal architect. As the nation accelerates its digital economy, the work of local mathematicians like Dr. Wijaya and Dr. Rahman proves indispensable for developing context-aware technologies—from agricultural algorithms for Java's rice farmers to financial models preventing Jakarta's economic volatility. This research advocates for three concrete actions: 1) Establishing Jakarta as Indonesia’s National Mathematics Innovation Hub with federal funding, 2) Mandating mathematician-led curriculum development in all K-12 schools, and 3) Creating cross-sector partnerships linking university mathematicians with Jakarta's startup ecosystem. In an era where mathematics underpins every technological advancement, the Indonesian mathematician in Jakarta is not merely an academic but a nation-builder whose contributions will define Indonesia's place in the global knowledge economy.</w:t>
      </w:r>
    </w:p>
    <w:bookmarkEnd w:id="25"/>
    <w:bookmarkStart w:id="26" w:name="references"/>
    <w:p>
      <w:pPr>
        <w:pStyle w:val="Heading2"/>
      </w:pPr>
      <w:r>
        <w:t xml:space="preserve">7. References</w:t>
      </w:r>
    </w:p>
    <w:p>
      <w:pPr>
        <w:pStyle w:val="FirstParagraph"/>
      </w:pPr>
      <w:r>
        <w:t xml:space="preserve">Rahman, A. (2021). *Mathematical Inclusion in Urban Education: The Jakarta Model*. Journal of Southeast Asian Mathematics Education.</w:t>
      </w:r>
      <w:r>
        <w:br/>
      </w:r>
      <w:r>
        <w:t xml:space="preserve">Surya, D. (1983). *Differential Equations for Urban Planning*. UI Press.</w:t>
      </w:r>
      <w:r>
        <w:br/>
      </w:r>
      <w:r>
        <w:t xml:space="preserve">Ministry of Education Indonesia. (2023). *National STEM Strategy 2030*. Jakarta: Kemendikbud.</w:t>
      </w:r>
      <w:r>
        <w:br/>
      </w:r>
      <w:r>
        <w:t xml:space="preserve">Wijaya, A. (2019). "Adaptive Learning in Multilingual Classrooms." *Proceedings of the International Conference on Mathematics Education*, Jakarta.</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Excellence in Indonesia Jakarta</dc:title>
  <dc:creator/>
  <dc:language>en</dc:language>
  <cp:keywords/>
  <dcterms:created xsi:type="dcterms:W3CDTF">2026-04-25T22:58:33Z</dcterms:created>
  <dcterms:modified xsi:type="dcterms:W3CDTF">2026-04-25T22:58:33Z</dcterms:modified>
</cp:coreProperties>
</file>

<file path=docProps/custom.xml><?xml version="1.0" encoding="utf-8"?>
<Properties xmlns="http://schemas.openxmlformats.org/officeDocument/2006/custom-properties" xmlns:vt="http://schemas.openxmlformats.org/officeDocument/2006/docPropsVTypes"/>
</file>