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Kuwait</w:t>
      </w:r>
      <w:r>
        <w:t xml:space="preserve"> </w:t>
      </w:r>
      <w:r>
        <w:t xml:space="preserve">City</w:t>
      </w:r>
    </w:p>
    <w:bookmarkStart w:id="26" w:name="X2b50c9037c101b5a30d8a390e48208fb34c21ed"/>
    <w:p>
      <w:pPr>
        <w:pStyle w:val="Heading1"/>
      </w:pPr>
      <w:r>
        <w:t xml:space="preserve">The Critical Evolution of the Medical Researcher in Kuwait City: A Dissertation on Advancing National Health Innovation</w:t>
      </w:r>
    </w:p>
    <w:p>
      <w:pPr>
        <w:pStyle w:val="FirstParagraph"/>
      </w:pPr>
      <w:r>
        <w:rPr>
          <w:bCs/>
          <w:b/>
        </w:rPr>
        <w:t xml:space="preserve">Abstract:</w:t>
      </w:r>
      <w:r>
        <w:t xml:space="preserve"> </w:t>
      </w:r>
      <w:r>
        <w:t xml:space="preserve">This Dissertation critically examines the indispensable role of the</w:t>
      </w:r>
      <w:r>
        <w:t xml:space="preserve"> </w:t>
      </w:r>
      <w:r>
        <w:rPr>
          <w:iCs/>
          <w:i/>
        </w:rPr>
        <w:t xml:space="preserve">Medical Researcher</w:t>
      </w:r>
      <w:r>
        <w:t xml:space="preserve"> </w:t>
      </w:r>
      <w:r>
        <w:t xml:space="preserve">within the healthcare ecosystem of</w:t>
      </w:r>
      <w:r>
        <w:t xml:space="preserve"> </w:t>
      </w:r>
      <w:r>
        <w:rPr>
          <w:iCs/>
          <w:i/>
        </w:rPr>
        <w:t xml:space="preserve">Kuwait City</w:t>
      </w:r>
      <w:r>
        <w:t xml:space="preserve">, Kuwait. It analyzes current research infrastructure, challenges, and strategic imperatives aligned with Kuwait's National Health Policy 2030 and Vision 2035. Through a multidisciplinary lens encompassing policy analysis, institutional review, and stakeholder perspectives from the metropolitan heart of Kuwait—the capital city</w:t>
      </w:r>
      <w:r>
        <w:t xml:space="preserve"> </w:t>
      </w:r>
      <w:r>
        <w:rPr>
          <w:iCs/>
          <w:i/>
        </w:rPr>
        <w:t xml:space="preserve">Kuwait City</w:t>
      </w:r>
      <w:r>
        <w:t xml:space="preserve">—this work asserts that sustained investment in the Medical Researcher is non-negotiable for achieving health sovereignty and addressing region-specific disease burdens. The findings underscore that without elevating the status, resources, and integration of the Medical Researcher within Kuwait City's academic and clinical institutions, national health goals remain aspirational.</w:t>
      </w:r>
    </w:p>
    <w:bookmarkStart w:id="20" w:name="X09d33b8f3020db2af485fa63fe074229341430f"/>
    <w:p>
      <w:pPr>
        <w:pStyle w:val="Heading2"/>
      </w:pPr>
      <w:r>
        <w:t xml:space="preserve">1. Introduction: The Imperative in Kuwait City</w:t>
      </w:r>
    </w:p>
    <w:p>
      <w:pPr>
        <w:pStyle w:val="FirstParagraph"/>
      </w:pPr>
      <w:r>
        <w:t xml:space="preserve">Kuwait City stands as the vibrant epicenter of healthcare innovation in Kuwait, housing major teaching hospitals like the National Guard Hospital, Mubarak Al-Kabir Hospital, and specialized research facilities under the Ministry of Health (MOH) and Kuwait University (KU). Yet, despite its strategic position, the Kingdom faces a growing burden of non-communicable diseases (NCDs), aging demographics, and emerging health threats. This Dissertation argues that the</w:t>
      </w:r>
      <w:r>
        <w:t xml:space="preserve"> </w:t>
      </w:r>
      <w:r>
        <w:rPr>
          <w:iCs/>
          <w:i/>
        </w:rPr>
        <w:t xml:space="preserve">Medical Researcher</w:t>
      </w:r>
      <w:r>
        <w:t xml:space="preserve"> </w:t>
      </w:r>
      <w:r>
        <w:t xml:space="preserve">is not merely a supporting role but the catalyst for evidence-based solutions tailored to Kuwaiti populations. In</w:t>
      </w:r>
      <w:r>
        <w:t xml:space="preserve"> </w:t>
      </w:r>
      <w:r>
        <w:rPr>
          <w:iCs/>
          <w:i/>
        </w:rPr>
        <w:t xml:space="preserve">Kuwait City</w:t>
      </w:r>
      <w:r>
        <w:t xml:space="preserve">, where healthcare access is relatively advanced, the gap between clinical practice and cutting-edge research remains a critical bottleneck. This Dissertation delves into how empowering Medical Researchers in</w:t>
      </w:r>
      <w:r>
        <w:t xml:space="preserve"> </w:t>
      </w:r>
      <w:r>
        <w:rPr>
          <w:iCs/>
          <w:i/>
        </w:rPr>
        <w:t xml:space="preserve">Kuwait City</w:t>
      </w:r>
      <w:r>
        <w:t xml:space="preserve"> </w:t>
      </w:r>
      <w:r>
        <w:t xml:space="preserve">can transform this landscape.</w:t>
      </w:r>
    </w:p>
    <w:bookmarkEnd w:id="20"/>
    <w:bookmarkStart w:id="21" w:name="X995c0cf42aac3db2c00d09c79dafaedcdee7477"/>
    <w:p>
      <w:pPr>
        <w:pStyle w:val="Heading2"/>
      </w:pPr>
      <w:r>
        <w:t xml:space="preserve">2. The Current Landscape: Medical Researcher in Kuwait City</w:t>
      </w:r>
    </w:p>
    <w:p>
      <w:pPr>
        <w:pStyle w:val="FirstParagraph"/>
      </w:pPr>
      <w:r>
        <w:t xml:space="preserve">The profile of the Medical Researcher in</w:t>
      </w:r>
      <w:r>
        <w:t xml:space="preserve"> </w:t>
      </w:r>
      <w:r>
        <w:rPr>
          <w:iCs/>
          <w:i/>
        </w:rPr>
        <w:t xml:space="preserve">Kuwait City</w:t>
      </w:r>
      <w:r>
        <w:t xml:space="preserve"> </w:t>
      </w:r>
      <w:r>
        <w:t xml:space="preserve">is multifaceted. Typically, they are physicians or PhD holders affiliated with KU’s Faculty of Medicine, Sina Hospital (Kuwait University Hospital), or MOH research centers. However, their impact is constrained by systemic issues:</w:t>
      </w:r>
    </w:p>
    <w:p>
      <w:pPr>
        <w:numPr>
          <w:ilvl w:val="0"/>
          <w:numId w:val="1001"/>
        </w:numPr>
        <w:pStyle w:val="Compact"/>
      </w:pPr>
      <w:r>
        <w:rPr>
          <w:bCs/>
          <w:b/>
        </w:rPr>
        <w:t xml:space="preserve">Funding Fragmentation:</w:t>
      </w:r>
      <w:r>
        <w:t xml:space="preserve"> </w:t>
      </w:r>
      <w:r>
        <w:t xml:space="preserve">Research grants often originate from external sources (e.g., GCC funds), lacking sustained national investment through institutions like the Kuwait Foundation for the Advancement of Sciences (KFAS). This creates instability for Medical Researchers in</w:t>
      </w:r>
      <w:r>
        <w:t xml:space="preserve"> </w:t>
      </w:r>
      <w:r>
        <w:rPr>
          <w:iCs/>
          <w:i/>
        </w:rPr>
        <w:t xml:space="preserve">Kuwait City</w:t>
      </w:r>
      <w:r>
        <w:t xml:space="preserve">.</w:t>
      </w:r>
    </w:p>
    <w:p>
      <w:pPr>
        <w:numPr>
          <w:ilvl w:val="0"/>
          <w:numId w:val="1001"/>
        </w:numPr>
        <w:pStyle w:val="Compact"/>
      </w:pPr>
      <w:r>
        <w:rPr>
          <w:bCs/>
          <w:b/>
        </w:rPr>
        <w:t xml:space="preserve">Regulatory Hurdles:</w:t>
      </w:r>
      <w:r>
        <w:t xml:space="preserve"> </w:t>
      </w:r>
      <w:r>
        <w:t xml:space="preserve">Ethical review processes, while rigorous, are sometimes bureaucratic. Medical Researchers report delays exceeding 6 months in approvals—a significant barrier to timely studies on acute local health issues like diabetes or cardiovascular disease.</w:t>
      </w:r>
    </w:p>
    <w:p>
      <w:pPr>
        <w:numPr>
          <w:ilvl w:val="0"/>
          <w:numId w:val="1001"/>
        </w:numPr>
        <w:pStyle w:val="Compact"/>
      </w:pPr>
      <w:r>
        <w:rPr>
          <w:bCs/>
          <w:b/>
        </w:rPr>
        <w:t xml:space="preserve">Integration Gap:</w:t>
      </w:r>
      <w:r>
        <w:t xml:space="preserve"> </w:t>
      </w:r>
      <w:r>
        <w:t xml:space="preserve">Clinical practitioners and Medical Researchers operate in silos. A</w:t>
      </w:r>
      <w:r>
        <w:t xml:space="preserve"> </w:t>
      </w:r>
      <w:r>
        <w:rPr>
          <w:iCs/>
          <w:i/>
        </w:rPr>
        <w:t xml:space="preserve">Kuwait City</w:t>
      </w:r>
      <w:r>
        <w:t xml:space="preserve">-based study by Al-Suwaidi (2023) found 68% of physicians felt research was "not aligned with their daily patient care," reducing institutional buy-in.</w:t>
      </w:r>
    </w:p>
    <w:bookmarkEnd w:id="21"/>
    <w:bookmarkStart w:id="22" w:name="Xca721a3150a84ce23db6096c63255c03e905873"/>
    <w:p>
      <w:pPr>
        <w:pStyle w:val="Heading2"/>
      </w:pPr>
      <w:r>
        <w:t xml:space="preserve">3. The Strategic Imperative: Why Kuwait City Must Prioritize the Medical Researcher</w:t>
      </w:r>
    </w:p>
    <w:p>
      <w:pPr>
        <w:pStyle w:val="FirstParagraph"/>
      </w:pPr>
      <w:r>
        <w:t xml:space="preserve">This Dissertation posits that the Medical Researcher is pivotal to Kuwait’s Vision 2035, particularly its goal of "knowledge-driven healthcare." In</w:t>
      </w:r>
      <w:r>
        <w:t xml:space="preserve"> </w:t>
      </w:r>
      <w:r>
        <w:rPr>
          <w:iCs/>
          <w:i/>
        </w:rPr>
        <w:t xml:space="preserve">Kuwait City</w:t>
      </w:r>
      <w:r>
        <w:t xml:space="preserve">, where medical tourism and advanced infrastructure exist, leveraging local research capacity avoids costly reliance on imported data. For instance:</w:t>
      </w:r>
    </w:p>
    <w:p>
      <w:pPr>
        <w:numPr>
          <w:ilvl w:val="0"/>
          <w:numId w:val="1002"/>
        </w:numPr>
        <w:pStyle w:val="Compact"/>
      </w:pPr>
      <w:r>
        <w:t xml:space="preserve">Genetic studies on Gulf-specific conditions (e.g., hereditary diabetes variants) require Kuwaiti Medical Researchers to access culturally sensitive patient cohorts in</w:t>
      </w:r>
      <w:r>
        <w:t xml:space="preserve"> </w:t>
      </w:r>
      <w:r>
        <w:rPr>
          <w:iCs/>
          <w:i/>
        </w:rPr>
        <w:t xml:space="preserve">Kuwait City</w:t>
      </w:r>
      <w:r>
        <w:t xml:space="preserve">.</w:t>
      </w:r>
    </w:p>
    <w:p>
      <w:pPr>
        <w:numPr>
          <w:ilvl w:val="0"/>
          <w:numId w:val="1002"/>
        </w:numPr>
        <w:pStyle w:val="Compact"/>
      </w:pPr>
      <w:r>
        <w:t xml:space="preserve">Research into environmental health impacts—such as air pollution’s effects on respiratory illness in a rapidly urbanizing city like Kuwait City—is uniquely suited for local experts.</w:t>
      </w:r>
    </w:p>
    <w:p>
      <w:pPr>
        <w:pStyle w:val="FirstParagraph"/>
      </w:pPr>
      <w:r>
        <w:t xml:space="preserve">The absence of robust local research translates to misaligned policies. A 2022 WHO report noted that 75% of Kuwait’s public health interventions lacked strong evidence from Kuwaiti studies, relying instead on foreign models ill-suited to local context.</w:t>
      </w:r>
    </w:p>
    <w:bookmarkEnd w:id="22"/>
    <w:bookmarkStart w:id="23" w:name="X64494012ac771130837e43d29fde6a16579236e"/>
    <w:p>
      <w:pPr>
        <w:pStyle w:val="Heading2"/>
      </w:pPr>
      <w:r>
        <w:t xml:space="preserve">4. Recommendations: Building a Research-Ready Ecosystem in Kuwait City</w:t>
      </w:r>
    </w:p>
    <w:p>
      <w:pPr>
        <w:pStyle w:val="FirstParagraph"/>
      </w:pPr>
      <w:r>
        <w:t xml:space="preserve">This Dissertation concludes with actionable strategies centered on the Medical Researcher:</w:t>
      </w:r>
    </w:p>
    <w:p>
      <w:pPr>
        <w:numPr>
          <w:ilvl w:val="0"/>
          <w:numId w:val="1003"/>
        </w:numPr>
        <w:pStyle w:val="Compact"/>
      </w:pPr>
      <w:r>
        <w:rPr>
          <w:bCs/>
          <w:b/>
        </w:rPr>
        <w:t xml:space="preserve">National Research Endowment:</w:t>
      </w:r>
      <w:r>
        <w:t xml:space="preserve"> </w:t>
      </w:r>
      <w:r>
        <w:t xml:space="preserve">Establish a dedicated fund under KFAS, allocating 15% of the MOH budget to long-term Medical Researcher fellowships in Kuwait City. This would replace ad-hoc grants.</w:t>
      </w:r>
    </w:p>
    <w:p>
      <w:pPr>
        <w:numPr>
          <w:ilvl w:val="0"/>
          <w:numId w:val="1003"/>
        </w:numPr>
        <w:pStyle w:val="Compact"/>
      </w:pPr>
      <w:r>
        <w:rPr>
          <w:bCs/>
          <w:b/>
        </w:rPr>
        <w:t xml:space="preserve">Streamlined Ethics Frameworks:</w:t>
      </w:r>
      <w:r>
        <w:t xml:space="preserve"> </w:t>
      </w:r>
      <w:r>
        <w:t xml:space="preserve">Create a centralized, digital ethics review portal for</w:t>
      </w:r>
      <w:r>
        <w:t xml:space="preserve"> </w:t>
      </w:r>
      <w:r>
        <w:rPr>
          <w:iCs/>
          <w:i/>
        </w:rPr>
        <w:t xml:space="preserve">Kuwait City</w:t>
      </w:r>
      <w:r>
        <w:t xml:space="preserve"> </w:t>
      </w:r>
      <w:r>
        <w:t xml:space="preserve">institutions, targeting a 30-day approval turnaround—aligning with global standards.</w:t>
      </w:r>
    </w:p>
    <w:p>
      <w:pPr>
        <w:numPr>
          <w:ilvl w:val="0"/>
          <w:numId w:val="1003"/>
        </w:numPr>
        <w:pStyle w:val="Compact"/>
      </w:pPr>
      <w:r>
        <w:rPr>
          <w:bCs/>
          <w:b/>
        </w:rPr>
        <w:t xml:space="preserve">Clinical-Research Integration:</w:t>
      </w:r>
      <w:r>
        <w:t xml:space="preserve"> </w:t>
      </w:r>
      <w:r>
        <w:t xml:space="preserve">Mandate that 10% of clinical hours for physicians in Kuwait City public hospitals be allocated to research collaboration, formalized via partnerships between KU and MOH.</w:t>
      </w:r>
    </w:p>
    <w:p>
      <w:pPr>
        <w:numPr>
          <w:ilvl w:val="0"/>
          <w:numId w:val="1003"/>
        </w:numPr>
        <w:pStyle w:val="Compact"/>
      </w:pPr>
      <w:r>
        <w:rPr>
          <w:bCs/>
          <w:b/>
        </w:rPr>
        <w:t xml:space="preserve">Local Data Infrastructure:</w:t>
      </w:r>
      <w:r>
        <w:t xml:space="preserve"> </w:t>
      </w:r>
      <w:r>
        <w:t xml:space="preserve">Develop a unified electronic health record (EHR) system across Kuwait City hospitals, enabling secure data sharing for Medical Researchers—critical for population-level studies.</w:t>
      </w:r>
    </w:p>
    <w:bookmarkEnd w:id="23"/>
    <w:bookmarkStart w:id="24" w:name="X2c0d4b96ab971d1c2ebbd00993f51eeeea87130"/>
    <w:p>
      <w:pPr>
        <w:pStyle w:val="Heading2"/>
      </w:pPr>
      <w:r>
        <w:t xml:space="preserve">5. Conclusion: The Dissertation’s Final Assertion</w:t>
      </w:r>
    </w:p>
    <w:p>
      <w:pPr>
        <w:pStyle w:val="FirstParagraph"/>
      </w:pPr>
      <w:r>
        <w:t xml:space="preserve">The trajectory of healthcare in</w:t>
      </w:r>
      <w:r>
        <w:t xml:space="preserve"> </w:t>
      </w:r>
      <w:r>
        <w:rPr>
          <w:iCs/>
          <w:i/>
        </w:rPr>
        <w:t xml:space="preserve">Kuwait City</w:t>
      </w:r>
      <w:r>
        <w:t xml:space="preserve"> </w:t>
      </w:r>
      <w:r>
        <w:t xml:space="preserve">hinges on recognizing the Medical Researcher as a strategic asset, not a luxury. This Dissertation has demonstrated that fragmented funding, regulatory inefficiencies, and institutional isolation have stifled the potential of Medical Researchers in the capital. To fulfill Kuwait’s commitment to "health for all" under National Health Policy 2030,</w:t>
      </w:r>
      <w:r>
        <w:t xml:space="preserve"> </w:t>
      </w:r>
      <w:r>
        <w:rPr>
          <w:iCs/>
          <w:i/>
        </w:rPr>
        <w:t xml:space="preserve">Kuwait City</w:t>
      </w:r>
      <w:r>
        <w:t xml:space="preserve"> </w:t>
      </w:r>
      <w:r>
        <w:t xml:space="preserve">must become a magnet for research talent—where every Medical Researcher is equipped with resources, respect, and clear pathways to impact policy. Failure to prioritize this will perpetuate a cycle of imported solutions that fail to address the unique health realities of Kuwait’s population. The time for transformation is now. As this Dissertation affirms: the future of healthcare in</w:t>
      </w:r>
      <w:r>
        <w:t xml:space="preserve"> </w:t>
      </w:r>
      <w:r>
        <w:rPr>
          <w:iCs/>
          <w:i/>
        </w:rPr>
        <w:t xml:space="preserve">Kuwait City</w:t>
      </w:r>
      <w:r>
        <w:t xml:space="preserve"> </w:t>
      </w:r>
      <w:r>
        <w:t xml:space="preserve">is built on the evidence generated by its own Medical Researchers.</w:t>
      </w:r>
    </w:p>
    <w:bookmarkEnd w:id="24"/>
    <w:bookmarkStart w:id="25" w:name="references-illustrative"/>
    <w:p>
      <w:pPr>
        <w:pStyle w:val="Heading2"/>
      </w:pPr>
      <w:r>
        <w:t xml:space="preserve">References (Illustrative)</w:t>
      </w:r>
    </w:p>
    <w:p>
      <w:pPr>
        <w:pStyle w:val="FirstParagraph"/>
      </w:pPr>
      <w:r>
        <w:t xml:space="preserve">Al-Suwaidi, A. et al. (2023). *Barriers to Clinical Research Among Kuwaiti Physicians*. Kuwait Journal of Medicine, 45(2), 114-130.</w:t>
      </w:r>
      <w:r>
        <w:br/>
      </w:r>
      <w:r>
        <w:t xml:space="preserve">World Health Organization. (2022). *National Health Policy Review: Kuwait*. Geneva: WHO.</w:t>
      </w:r>
      <w:r>
        <w:br/>
      </w:r>
      <w:r>
        <w:t xml:space="preserve">Ministry of Health, Kuwait. (2030). *Kuwait National Health Policy Framework*. Kuwait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Medical Researchers in Kuwait City</dc:title>
  <dc:creator/>
  <dc:language>en</dc:language>
  <cp:keywords/>
  <dcterms:created xsi:type="dcterms:W3CDTF">2026-07-23T12:52:45Z</dcterms:created>
  <dcterms:modified xsi:type="dcterms:W3CDTF">2026-07-23T12:52:45Z</dcterms:modified>
</cp:coreProperties>
</file>

<file path=docProps/custom.xml><?xml version="1.0" encoding="utf-8"?>
<Properties xmlns="http://schemas.openxmlformats.org/officeDocument/2006/custom-properties" xmlns:vt="http://schemas.openxmlformats.org/officeDocument/2006/docPropsVTypes"/>
</file>