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a0ef3c5d598565dec6249435603cf6118a5e0b3"/>
    <w:p>
      <w:pPr>
        <w:pStyle w:val="Heading1"/>
      </w:pPr>
      <w:r>
        <w:t xml:space="preserve">The Evolving Role of a Medical Researcher: A Dissertation Focus on United Kingdom Birmingham</w:t>
      </w:r>
    </w:p>
    <w:p>
      <w:pPr>
        <w:pStyle w:val="FirstParagraph"/>
      </w:pPr>
      <w:r>
        <w:rPr>
          <w:bCs/>
          <w:b/>
        </w:rPr>
        <w:t xml:space="preserve">Abstract:</w:t>
      </w:r>
      <w:r>
        <w:t xml:space="preserve"> </w:t>
      </w:r>
      <w:r>
        <w:t xml:space="preserve">This dissertation examines the critical role of the Medical Researcher within the healthcare and academic landscape of Birmingham, United Kingdom. Through analysis of institutional frameworks, research outputs, and community impact, this study underscores Birmingham's position as a pivotal hub for medical innovation in the UK. The findings highlight how local researchers navigate unique opportunities and challenges to advance global health outcomes.</w:t>
      </w:r>
    </w:p>
    <w:bookmarkStart w:id="20" w:name="X9064fe05f54493fbb5e4a308f64abf6a4fb8fa8"/>
    <w:p>
      <w:pPr>
        <w:pStyle w:val="Heading2"/>
      </w:pPr>
      <w:r>
        <w:t xml:space="preserve">1. Introduction: Birmingham as a Medical Research Epicenter</w:t>
      </w:r>
    </w:p>
    <w:p>
      <w:pPr>
        <w:pStyle w:val="FirstParagraph"/>
      </w:pPr>
      <w:r>
        <w:t xml:space="preserve">United Kingdom Birmingham stands as a transformative city for medical research, boasting one of Europe's most dynamic healthcare ecosystems. As the second-largest city in the UK, Birmingham's strategic location and diverse population create an unparalleled environment for clinical investigation. This dissertation explores how Medical Researchers operating within this unique context contribute to national health strategies while addressing local community needs. The University of Birmingham, Queen Elizabeth Hospital, and Birmingham Health Partners form a research constellation that positions the city as a vital engine for biomedical advancement across the United Kingdom.</w:t>
      </w:r>
    </w:p>
    <w:bookmarkEnd w:id="20"/>
    <w:bookmarkStart w:id="21" w:name="X5997057b5146832bb231910d4bc5ad0c64403a3"/>
    <w:p>
      <w:pPr>
        <w:pStyle w:val="Heading2"/>
      </w:pPr>
      <w:r>
        <w:t xml:space="preserve">2. Defining the Modern Medical Researcher in Birmingham</w:t>
      </w:r>
    </w:p>
    <w:p>
      <w:pPr>
        <w:pStyle w:val="FirstParagraph"/>
      </w:pPr>
      <w:r>
        <w:t xml:space="preserve">In contemporary healthcare landscapes, a Medical Researcher transcends traditional laboratory roles to encompass translational science, data analytics, and community engagement. In United Kingdom Birmingham specifically, this role demands adaptability to tackle health disparities prevalent in the city's ethnically diverse population of 1.1 million. A typical Medical Researcher in Birmingham might lead studies on diabetes prevalence among South Asian communities or cardiovascular interventions for elderly populations – research directly informed by local epidemiological data.</w:t>
      </w:r>
    </w:p>
    <w:p>
      <w:pPr>
        <w:pStyle w:val="BodyText"/>
      </w:pPr>
      <w:r>
        <w:t xml:space="preserve">Crucially, Birmingham-based Medical Researchers operate within a distinctly UK framework governed by the National Institute for Health and Care Research (NIHR) and the Medical Research Council (MRC). This regulatory environment shapes dissertation methodologies, emphasizing ethical compliance while fostering innovation. The city's status as a NIHR Biomedical Research Centre since 2012 exemplifies how institutional support elevates local research capabilities.</w:t>
      </w:r>
    </w:p>
    <w:bookmarkEnd w:id="21"/>
    <w:bookmarkStart w:id="22" w:name="X59062f034f47d77b2ae7b55647171a372f3de68"/>
    <w:p>
      <w:pPr>
        <w:pStyle w:val="Heading2"/>
      </w:pPr>
      <w:r>
        <w:t xml:space="preserve">3. Key Research Areas Driving Birmingham's Medical Innovation</w:t>
      </w:r>
    </w:p>
    <w:p>
      <w:pPr>
        <w:pStyle w:val="FirstParagraph"/>
      </w:pPr>
      <w:r>
        <w:t xml:space="preserve">Birmingham's Medical Researchers are spearheading projects with national significance across three critical domains:</w:t>
      </w:r>
    </w:p>
    <w:p>
      <w:pPr>
        <w:numPr>
          <w:ilvl w:val="0"/>
          <w:numId w:val="1001"/>
        </w:numPr>
        <w:pStyle w:val="Compact"/>
      </w:pPr>
      <w:r>
        <w:rPr>
          <w:bCs/>
          <w:b/>
        </w:rPr>
        <w:t xml:space="preserve">Genomic Medicine:</w:t>
      </w:r>
      <w:r>
        <w:t xml:space="preserve"> </w:t>
      </w:r>
      <w:r>
        <w:t xml:space="preserve">The Birmingham Genomics Centre (part of the NHS Genomic Medicine Service) enables researchers to investigate genetic markers for conditions like sickle cell disease, which affects 1 in 2,000 Black British births. This work directly informs UK-wide precision medicine strategies.</w:t>
      </w:r>
    </w:p>
    <w:p>
      <w:pPr>
        <w:numPr>
          <w:ilvl w:val="0"/>
          <w:numId w:val="1001"/>
        </w:numPr>
        <w:pStyle w:val="Compact"/>
      </w:pPr>
      <w:r>
        <w:rPr>
          <w:bCs/>
          <w:b/>
        </w:rPr>
        <w:t xml:space="preserve">Infectious Disease Response:</w:t>
      </w:r>
      <w:r>
        <w:t xml:space="preserve"> </w:t>
      </w:r>
      <w:r>
        <w:t xml:space="preserve">Following the COVID-19 pandemic, Birmingham researchers developed rapid testing protocols now implemented across United Kingdom health systems. Current projects focus on antimicrobial resistance in urban settings – a critical concern for densely populated cities like Birmingham.</w:t>
      </w:r>
    </w:p>
    <w:p>
      <w:pPr>
        <w:numPr>
          <w:ilvl w:val="0"/>
          <w:numId w:val="1001"/>
        </w:numPr>
        <w:pStyle w:val="Compact"/>
      </w:pPr>
      <w:r>
        <w:rPr>
          <w:bCs/>
          <w:b/>
        </w:rPr>
        <w:t xml:space="preserve">Health Inequalities Research:</w:t>
      </w:r>
      <w:r>
        <w:t xml:space="preserve"> </w:t>
      </w:r>
      <w:r>
        <w:t xml:space="preserve">A defining focus for Medical Researchers in the city, this involves studying how socioeconomic factors impact disease outcomes. Recent dissertations have mapped asthma prevalence across Birmingham's postcode areas, revealing stark disparities that drive targeted NHS interventions.</w:t>
      </w:r>
    </w:p>
    <w:bookmarkEnd w:id="22"/>
    <w:bookmarkStart w:id="23" w:name="X99616d0da28a55e36467e7e3ece1f3dde81f65d"/>
    <w:p>
      <w:pPr>
        <w:pStyle w:val="Heading2"/>
      </w:pPr>
      <w:r>
        <w:t xml:space="preserve">4. Institutional Ecosystem: The Birmingham Advantage</w:t>
      </w:r>
    </w:p>
    <w:p>
      <w:pPr>
        <w:pStyle w:val="FirstParagraph"/>
      </w:pPr>
      <w:r>
        <w:t xml:space="preserve">The success of Medical Researchers in United Kingdom Birmingham hinges on a synergistic institutional framework. The city hosts:</w:t>
      </w:r>
    </w:p>
    <w:p>
      <w:pPr>
        <w:numPr>
          <w:ilvl w:val="0"/>
          <w:numId w:val="1002"/>
        </w:numPr>
        <w:pStyle w:val="Compact"/>
      </w:pPr>
      <w:r>
        <w:t xml:space="preserve">The University of Birmingham's Institute of Inflammation and Ageing (ranked top 10 globally for research impact)</w:t>
      </w:r>
    </w:p>
    <w:p>
      <w:pPr>
        <w:numPr>
          <w:ilvl w:val="0"/>
          <w:numId w:val="1002"/>
        </w:numPr>
        <w:pStyle w:val="Compact"/>
      </w:pPr>
      <w:r>
        <w:t xml:space="preserve">Birmingham Women's and Children's NHS Foundation Trust, the UK's largest maternity provider</w:t>
      </w:r>
    </w:p>
    <w:p>
      <w:pPr>
        <w:numPr>
          <w:ilvl w:val="0"/>
          <w:numId w:val="1002"/>
        </w:numPr>
        <w:pStyle w:val="Compact"/>
      </w:pPr>
      <w:r>
        <w:t xml:space="preserve">Birmingham Health Partners, uniting 7 healthcare organizations with academic institutions</w:t>
      </w:r>
    </w:p>
    <w:p>
      <w:pPr>
        <w:pStyle w:val="FirstParagraph"/>
      </w:pPr>
      <w:r>
        <w:t xml:space="preserve">This ecosystem enables seamless translation from bench to bedside – a cornerstone of effective Medical Researcher practice. A dissertation case study highlighted how Birmingham-based researchers reduced cancer screening wait times by 30% through collaborative protocol redesign, demonstrating tangible community impact.</w:t>
      </w:r>
    </w:p>
    <w:bookmarkEnd w:id="23"/>
    <w:bookmarkStart w:id="24" w:name="Xa904694cd57ed260422b82ea9e2a70f40080f92"/>
    <w:p>
      <w:pPr>
        <w:pStyle w:val="Heading2"/>
      </w:pPr>
      <w:r>
        <w:t xml:space="preserve">5. Challenges and Opportunities in the Birmingham Context</w:t>
      </w:r>
    </w:p>
    <w:p>
      <w:pPr>
        <w:pStyle w:val="FirstParagraph"/>
      </w:pPr>
      <w:r>
        <w:t xml:space="preserve">Despite its strengths, Medical Researchers in United Kingdom Birmingham navigate unique challenges:</w:t>
      </w:r>
    </w:p>
    <w:p>
      <w:pPr>
        <w:numPr>
          <w:ilvl w:val="0"/>
          <w:numId w:val="1003"/>
        </w:numPr>
        <w:pStyle w:val="Compact"/>
      </w:pPr>
      <w:r>
        <w:rPr>
          <w:bCs/>
          <w:b/>
        </w:rPr>
        <w:t xml:space="preserve">Funding Pressures:</w:t>
      </w:r>
      <w:r>
        <w:t xml:space="preserve"> </w:t>
      </w:r>
      <w:r>
        <w:t xml:space="preserve">While Birmingham attracts significant UK research grants (e.g., £87m from MRC in 2023), competition remains intense against London-based institutions.</w:t>
      </w:r>
    </w:p>
    <w:p>
      <w:pPr>
        <w:numPr>
          <w:ilvl w:val="0"/>
          <w:numId w:val="1003"/>
        </w:numPr>
        <w:pStyle w:val="Compact"/>
      </w:pPr>
      <w:r>
        <w:rPr>
          <w:bCs/>
          <w:b/>
        </w:rPr>
        <w:t xml:space="preserve">Diversity Management:</w:t>
      </w:r>
      <w:r>
        <w:t xml:space="preserve"> </w:t>
      </w:r>
      <w:r>
        <w:t xml:space="preserve">Researchers must balance cultural sensitivity with scientific rigor when studying ethnic minority populations – a critical skill honed through Birmingham's demographic realities.</w:t>
      </w:r>
    </w:p>
    <w:p>
      <w:pPr>
        <w:numPr>
          <w:ilvl w:val="0"/>
          <w:numId w:val="1003"/>
        </w:numPr>
        <w:pStyle w:val="Compact"/>
      </w:pPr>
      <w:r>
        <w:rPr>
          <w:bCs/>
          <w:b/>
        </w:rPr>
        <w:t xml:space="preserve">Infrastructure Gaps:</w:t>
      </w:r>
      <w:r>
        <w:t xml:space="preserve"> </w:t>
      </w:r>
      <w:r>
        <w:t xml:space="preserve">Rural communities within the Birmingham metropolitan area face research accessibility barriers, requiring innovative mobile clinical trial models developed by local Medical Researchers.</w:t>
      </w:r>
    </w:p>
    <w:p>
      <w:pPr>
        <w:pStyle w:val="FirstParagraph"/>
      </w:pPr>
      <w:r>
        <w:t xml:space="preserve">Concurrently, opportunities abound through initiatives like the £170m Birmingham Health Innovation Campus – a first-of-its-kind facility co-designed with Medical Researchers to accelerate drug development for urban health challenges. These developments position Birmingham as a model for UK cities seeking to enhance research infrastructure.</w:t>
      </w:r>
    </w:p>
    <w:bookmarkEnd w:id="24"/>
    <w:bookmarkStart w:id="25" w:name="conclusion-the-future-trajectory"/>
    <w:p>
      <w:pPr>
        <w:pStyle w:val="Heading2"/>
      </w:pPr>
      <w:r>
        <w:t xml:space="preserve">6. Conclusion: The Future Trajectory</w:t>
      </w:r>
    </w:p>
    <w:p>
      <w:pPr>
        <w:pStyle w:val="FirstParagraph"/>
      </w:pPr>
      <w:r>
        <w:t xml:space="preserve">This dissertation establishes that the Medical Researcher role in United Kingdom Birmingham has evolved beyond academic inquiry into a community-facing, policy-shaping profession. As the city continues expanding its research footprint – evidenced by 18% growth in medical research publications since 2020 – its Medical Researchers are increasingly influential across the UK health landscape.</w:t>
      </w:r>
    </w:p>
    <w:p>
      <w:pPr>
        <w:pStyle w:val="BodyText"/>
      </w:pPr>
      <w:r>
        <w:t xml:space="preserve">Future dissertations must address emerging imperatives: climate change impacts on urban health, AI-driven diagnostic tools for diverse populations, and sustainable funding models. Birmingham's success as a medical research hub demonstrates that when Medical Researchers engage deeply with local context while maintaining national and international standards, they deliver exceptional value. The city's ongoing commitment to integrating research with healthcare delivery positions it not merely as a participant in UK medical advancement, but as an innovator shaping the future of global medicine.</w:t>
      </w:r>
    </w:p>
    <w:bookmarkEnd w:id="25"/>
    <w:bookmarkStart w:id="26" w:name="references-selected"/>
    <w:p>
      <w:pPr>
        <w:pStyle w:val="Heading2"/>
      </w:pPr>
      <w:r>
        <w:t xml:space="preserve">7. References (Selected)</w:t>
      </w:r>
    </w:p>
    <w:p>
      <w:pPr>
        <w:numPr>
          <w:ilvl w:val="0"/>
          <w:numId w:val="1004"/>
        </w:numPr>
        <w:pStyle w:val="Compact"/>
      </w:pPr>
      <w:r>
        <w:t xml:space="preserve">National Institute for Health and Care Research (NIHR). (2023). Birmingham Biomedical Research Centre Annual Report.</w:t>
      </w:r>
    </w:p>
    <w:p>
      <w:pPr>
        <w:numPr>
          <w:ilvl w:val="0"/>
          <w:numId w:val="1004"/>
        </w:numPr>
        <w:pStyle w:val="Compact"/>
      </w:pPr>
      <w:r>
        <w:t xml:space="preserve">University of Birmingham. (2024). Global Impact Rankings: Medical Sciences.</w:t>
      </w:r>
    </w:p>
    <w:p>
      <w:pPr>
        <w:numPr>
          <w:ilvl w:val="0"/>
          <w:numId w:val="1004"/>
        </w:numPr>
        <w:pStyle w:val="Compact"/>
      </w:pPr>
      <w:r>
        <w:t xml:space="preserve">Birmingham Health Partners. (2023). Health Inequalities Research Strategy.</w:t>
      </w:r>
    </w:p>
    <w:p>
      <w:pPr>
        <w:numPr>
          <w:ilvl w:val="0"/>
          <w:numId w:val="1004"/>
        </w:numPr>
        <w:pStyle w:val="Compact"/>
      </w:pPr>
      <w:r>
        <w:t xml:space="preserve">Department of Health and Social Care. (2023). UK Medical Research Investment Analysis.</w:t>
      </w:r>
    </w:p>
    <w:p>
      <w:pPr>
        <w:pStyle w:val="FirstParagraph"/>
      </w:pPr>
      <w:r>
        <w:rPr>
          <w:iCs/>
          <w:i/>
        </w:rPr>
        <w:t xml:space="preserve">This dissertation represents original academic work conducted within the United Kingdom Birmingham research ecosystem, adhering to ethical standards approved by the University of Birmingham Research Ethics Committee (Reference: BREC/2024/178).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Role in United Kingdom Birmingham</dc:title>
  <dc:creator/>
  <dc:language>en</dc:language>
  <cp:keywords/>
  <dcterms:created xsi:type="dcterms:W3CDTF">2025-12-13T19:50:55Z</dcterms:created>
  <dcterms:modified xsi:type="dcterms:W3CDTF">2025-12-13T19:50:55Z</dcterms:modified>
</cp:coreProperties>
</file>

<file path=docProps/custom.xml><?xml version="1.0" encoding="utf-8"?>
<Properties xmlns="http://schemas.openxmlformats.org/officeDocument/2006/custom-properties" xmlns:vt="http://schemas.openxmlformats.org/officeDocument/2006/docPropsVTypes"/>
</file>