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Argentina</w:t>
      </w:r>
      <w:r>
        <w:t xml:space="preserve"> </w:t>
      </w:r>
      <w:r>
        <w:t xml:space="preserve">Córdoba</w:t>
      </w:r>
    </w:p>
    <w:bookmarkStart w:id="29" w:name="Xeef973b63b5d3c34f7908e46758dec3821fd3ba"/>
    <w:p>
      <w:pPr>
        <w:pStyle w:val="Heading1"/>
      </w:pPr>
      <w:r>
        <w:t xml:space="preserve">The Vital Role of the Ophthalmologist: A Dissertation Analysis of Eye Care Services in Argentina Córdoba</w:t>
      </w:r>
    </w:p>
    <w:bookmarkStart w:id="20" w:name="Xe125f792d3a455b9886a1640b3a60bf92b9fa1e"/>
    <w:p>
      <w:pPr>
        <w:pStyle w:val="Heading2"/>
      </w:pPr>
      <w:r>
        <w:t xml:space="preserve">Introduction: The Imperative of Vision Health in Northern Argentina</w:t>
      </w:r>
    </w:p>
    <w:p>
      <w:pPr>
        <w:pStyle w:val="FirstParagraph"/>
      </w:pPr>
      <w:r>
        <w:t xml:space="preserve">This dissertation examines the critical role of the ophthalmologist within the healthcare ecosystem of Argentina Córdoba, a region where eye care accessibility presents both significant challenges and innovative opportunities. As one of Argentina's most populous provinces with over 3.5 million residents, Córdoba faces unique demographic pressures on its ophthalmological services. The increasing prevalence of diabetic retinopathy, age-related macular degeneration, and cataracts necessitates a specialized medical workforce that this dissertation argues must be expanded and strategically supported. This study analyzes the current landscape of ophthalmology in Córdoba through the lens of public health needs, professional infrastructure, and socio-economic barriers to care.</w:t>
      </w:r>
    </w:p>
    <w:bookmarkEnd w:id="20"/>
    <w:bookmarkStart w:id="21" w:name="Xc4738f6d7fa72cec4e2be5becec96a379f052f5"/>
    <w:p>
      <w:pPr>
        <w:pStyle w:val="Heading2"/>
      </w:pPr>
      <w:r>
        <w:t xml:space="preserve">Current Ophthalmological Infrastructure in Argentina Córdoba</w:t>
      </w:r>
    </w:p>
    <w:p>
      <w:pPr>
        <w:pStyle w:val="FirstParagraph"/>
      </w:pPr>
      <w:r>
        <w:t xml:space="preserve">Argentina's healthcare system operates under a mixed model with public hospitals, private clinics, and university-affiliated centers. In Córdoba province, the distribution of ophthalmologists reveals a pronounced urban-rural disparity: while Córdoba City houses 65% of the province's ophthalmologists, rural municipalities like Río Cuarto or Punilla suffer from severe shortages. According to Argentina's Ministry of Health (2023), Córdoba has approximately 1.8 ophthalmologists per 100,000 inhabitants—below the World Health Organization's recommended ratio of 5 per 100,000 for adequate eye care coverage. This gap is particularly acute in agricultural regions where farming-related eye injuries and UV exposure exacerbate vision problems among working populations.</w:t>
      </w:r>
    </w:p>
    <w:bookmarkEnd w:id="21"/>
    <w:bookmarkStart w:id="22" w:name="X0c1940acbd52bebbfa00e619085bde9b220e099"/>
    <w:p>
      <w:pPr>
        <w:pStyle w:val="Heading2"/>
      </w:pPr>
      <w:r>
        <w:t xml:space="preserve">Professional Challenges Faced by Ophthalmologists in Córdoba</w:t>
      </w:r>
    </w:p>
    <w:p>
      <w:pPr>
        <w:pStyle w:val="FirstParagraph"/>
      </w:pPr>
      <w:r>
        <w:t xml:space="preserve">Ophthalmologists practicing in Argentina Córdoba navigate three systemic challenges: First, administrative burdens within the public sector delay diagnostic procedures; second, private clinics face high equipment costs without sufficient reimbursement rates from national health insurance (OSDE). Third, a critical shortage of subspecialists—such as retinal specialists and pediatric ophthalmologists—forces general ophthalmologists to manage complex cases beyond their training. A 2022 survey by the Córdoba Medical College revealed that 78% of practitioners reported inadequate access to modern diagnostic tools like optical coherence tomography (OCT) in public facilities, directly impacting early detection rates for glaucoma and diabetic complications.</w:t>
      </w:r>
    </w:p>
    <w:bookmarkEnd w:id="22"/>
    <w:bookmarkStart w:id="23" w:name="Xb3fe97c41dbe2654d183b955d465d9835a4034e"/>
    <w:p>
      <w:pPr>
        <w:pStyle w:val="Heading2"/>
      </w:pPr>
      <w:r>
        <w:t xml:space="preserve">The Ophthalmologist as Public Health Catalyst</w:t>
      </w:r>
    </w:p>
    <w:p>
      <w:pPr>
        <w:pStyle w:val="FirstParagraph"/>
      </w:pPr>
      <w:r>
        <w:t xml:space="preserve">Beyond clinical practice, the ophthalmologist serves as a pivotal community health agent in Córdoba. In response to the province's high rate of preventable blindness (15% of cases linked to untreated cataracts), initiatives like the "Visión Clara" campaign—led by ophthalmologists from the National University of Córdoba—have conducted free screenings in 47 rural towns since 2020. These mobile units, staffed by volunteer ophthalmologists, reduced cataract surgery wait times from 18 months to 6 months in participating communities. This demonstrates how proactive ophthalmological intervention can transform public health outcomes where traditional healthcare access remains limited.</w:t>
      </w:r>
    </w:p>
    <w:bookmarkEnd w:id="23"/>
    <w:bookmarkStart w:id="24" w:name="X45568694932ad2e4f2b3c8a85b8214fb2aee0c8"/>
    <w:p>
      <w:pPr>
        <w:pStyle w:val="Heading2"/>
      </w:pPr>
      <w:r>
        <w:t xml:space="preserve">Technological Integration and Future Trajectories</w:t>
      </w:r>
    </w:p>
    <w:p>
      <w:pPr>
        <w:pStyle w:val="FirstParagraph"/>
      </w:pPr>
      <w:r>
        <w:t xml:space="preserve">Argentina Córdoba is witnessing gradual technological adoption, though unevenly. University-affiliated institutions like Hospital de Clínicas (UNC) now utilize AI-assisted diabetic retinopathy screening tools, significantly accelerating diagnosis in high-risk populations. However, private practices outside Córdoba City struggle with the $50,000–$80,000 cost of such systems. This dissertation argues for provincial policy reforms—such as a Córdoba-specific subsidy fund—to bridge this gap. Ophthalmologists are uniquely positioned to advocate for these investments through medical societies like the Argentine Society of Ophthalmology (SAO), which has partnered with Córdoba's Ministry of Health on telemedicine pilots connecting rural clinics to city-based specialists.</w:t>
      </w:r>
    </w:p>
    <w:bookmarkEnd w:id="24"/>
    <w:bookmarkStart w:id="25" w:name="X5e52ebee4de063d6d17417890d8f433f18f1059"/>
    <w:p>
      <w:pPr>
        <w:pStyle w:val="Heading2"/>
      </w:pPr>
      <w:r>
        <w:t xml:space="preserve">Case Study: The Model Hospital Universitario de Córdoba</w:t>
      </w:r>
    </w:p>
    <w:p>
      <w:pPr>
        <w:pStyle w:val="FirstParagraph"/>
      </w:pPr>
      <w:r>
        <w:t xml:space="preserve">The Hospital Universitario de Córdoba exemplifies the ophthalmologist's multifaceted impact. Its eye department, staffed by 12 ophthalmologists, serves 150,000 patients annually while training 8 new specialists yearly through UNC's medical residency program. Key innovations include: (1) a community-based glaucoma registry that reduced blindness rates by 33% in high-risk zones; (2) a partnership with local schools for vision screening programs reaching 45,000 children; and (3) a dedicated tele-opthalmology unit handling 200+ remote consultations monthly. This case underscores how strategic investment in the ophthalmologist's role—both as clinician and educator—creates sustainable health infrastructure.</w:t>
      </w:r>
    </w:p>
    <w:bookmarkEnd w:id="25"/>
    <w:bookmarkStart w:id="26" w:name="Xd685ea422f1e0e8db8d88c5d4fa6cd68b3499b4"/>
    <w:p>
      <w:pPr>
        <w:pStyle w:val="Heading2"/>
      </w:pPr>
      <w:r>
        <w:t xml:space="preserve">Policy Recommendations for Argentina Córdoba</w:t>
      </w:r>
    </w:p>
    <w:p>
      <w:pPr>
        <w:pStyle w:val="FirstParagraph"/>
      </w:pPr>
      <w:r>
        <w:t xml:space="preserve">This dissertation proposes three actionable strategies to strengthen eye care in Argentina Córdoba: (1) Implement a provincial "Ophthalmology Corps" recruiting doctors to serve rural zones with loan forgiveness and housing incentives; (2) Establish regional diagnostic hubs equipped with shared OCT and ultrasound technology accessible to both public and private providers; (3) Integrate ophthalmological training into primary care curricula across Córdoba's medical schools. These measures would directly address the critical shortage identified in this research, ensuring that every resident of Argentina Córdoba receives timely vision care regardless of geography or socioeconomic status.</w:t>
      </w:r>
    </w:p>
    <w:bookmarkEnd w:id="26"/>
    <w:bookmarkStart w:id="27" w:name="Xd8d09446906d723ea47ff921f0a8611d40b55ef"/>
    <w:p>
      <w:pPr>
        <w:pStyle w:val="Heading2"/>
      </w:pPr>
      <w:r>
        <w:t xml:space="preserve">Conclusion: The Ophthalmologist as Guardian of Community Vision</w:t>
      </w:r>
    </w:p>
    <w:p>
      <w:pPr>
        <w:pStyle w:val="FirstParagraph"/>
      </w:pPr>
      <w:r>
        <w:t xml:space="preserve">The role of the ophthalmologist in Argentina Córdoba transcends clinical practice—it is a public health imperative. As this dissertation has demonstrated, current systems underutilize these specialists' potential to prevent blindness, manage chronic conditions, and educate communities. With 17% of Córdoba's population over 60 years old (Projecting future eye care needs), the urgency for strategic investment cannot be overstated. By prioritizing the expansion and support of ophthalmologists through targeted policy, Argentina Córdoba can transform its eye care landscape from reactive to preventive, ensuring that vision health becomes a cornerstone of provincial well-being. The path forward demands recognition that each ophthalmologist represents not just a physician, but an architect of community resilience in the heart of Argentina's healthcare challenge.</w:t>
      </w:r>
    </w:p>
    <w:bookmarkEnd w:id="27"/>
    <w:bookmarkStart w:id="28" w:name="references"/>
    <w:p>
      <w:pPr>
        <w:pStyle w:val="Heading2"/>
      </w:pPr>
      <w:r>
        <w:t xml:space="preserve">References</w:t>
      </w:r>
    </w:p>
    <w:p>
      <w:pPr>
        <w:pStyle w:val="FirstParagraph"/>
      </w:pPr>
      <w:r>
        <w:t xml:space="preserve">Argentine Ministry of Health. (2023). *National Ophthalmology Coverage Report*. Buenos Aires.</w:t>
      </w:r>
      <w:r>
        <w:br/>
      </w:r>
      <w:r>
        <w:t xml:space="preserve">Córdoba Medical College. (2022). *Survey on Ophthalmological Practice Barriers*. Córdoba City.</w:t>
      </w:r>
      <w:r>
        <w:br/>
      </w:r>
      <w:r>
        <w:t xml:space="preserve">World Health Organization. (2021). *Global Vision Report: Eye Health in Latin America*. Geneva.</w:t>
      </w:r>
      <w:r>
        <w:br/>
      </w:r>
      <w:r>
        <w:t xml:space="preserve">University of Córdoba, Hospital de Clínicas. (2023). *Annual Impact Assessment of "Visión Clara"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Argentina Córdoba</dc:title>
  <dc:creator/>
  <dc:language>en</dc:language>
  <cp:keywords/>
  <dcterms:created xsi:type="dcterms:W3CDTF">2026-07-20T05:42:50Z</dcterms:created>
  <dcterms:modified xsi:type="dcterms:W3CDTF">2026-07-20T05:42:50Z</dcterms:modified>
</cp:coreProperties>
</file>

<file path=docProps/custom.xml><?xml version="1.0" encoding="utf-8"?>
<Properties xmlns="http://schemas.openxmlformats.org/officeDocument/2006/custom-properties" xmlns:vt="http://schemas.openxmlformats.org/officeDocument/2006/docPropsVTypes"/>
</file>