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Ophthalmologist's</w:t>
      </w:r>
      <w:r>
        <w:t xml:space="preserve"> </w:t>
      </w:r>
      <w:r>
        <w:t xml:space="preserve">Role</w:t>
      </w:r>
      <w:r>
        <w:t xml:space="preserve"> </w:t>
      </w:r>
      <w:r>
        <w:t xml:space="preserve">in</w:t>
      </w:r>
      <w:r>
        <w:t xml:space="preserve"> </w:t>
      </w:r>
      <w:r>
        <w:t xml:space="preserve">Addressing</w:t>
      </w:r>
      <w:r>
        <w:t xml:space="preserve"> </w:t>
      </w:r>
      <w:r>
        <w:t xml:space="preserve">Eye</w:t>
      </w:r>
      <w:r>
        <w:t xml:space="preserve"> </w:t>
      </w:r>
      <w:r>
        <w:t xml:space="preserve">Health</w:t>
      </w:r>
      <w:r>
        <w:t xml:space="preserve"> </w:t>
      </w:r>
      <w:r>
        <w:t xml:space="preserve">Challenges</w:t>
      </w:r>
      <w:r>
        <w:t xml:space="preserve"> </w:t>
      </w:r>
      <w:r>
        <w:t xml:space="preserve">in</w:t>
      </w:r>
      <w:r>
        <w:t xml:space="preserve"> </w:t>
      </w:r>
      <w:r>
        <w:t xml:space="preserve">India</w:t>
      </w:r>
      <w:r>
        <w:t xml:space="preserve"> </w:t>
      </w:r>
      <w:r>
        <w:t xml:space="preserve">Mumbai</w:t>
      </w:r>
    </w:p>
    <w:bookmarkStart w:id="27" w:name="Xc801f77172001d14e2609a37a8fd71726e4b3a7"/>
    <w:p>
      <w:pPr>
        <w:pStyle w:val="Heading1"/>
      </w:pPr>
      <w:r>
        <w:t xml:space="preserve">Dissertation on the Critical Role of Ophthalmologists in Advancing Eye Care Systems within India Mumbai</w:t>
      </w:r>
    </w:p>
    <w:bookmarkStart w:id="20" w:name="X32712183d6427a6eb8be6159a9e9284af29f9a6"/>
    <w:p>
      <w:pPr>
        <w:pStyle w:val="Heading2"/>
      </w:pPr>
      <w:r>
        <w:t xml:space="preserve">Introduction: The Imperative of Vision Care in Metropolitan India</w:t>
      </w:r>
    </w:p>
    <w:p>
      <w:pPr>
        <w:pStyle w:val="FirstParagraph"/>
      </w:pPr>
      <w:r>
        <w:t xml:space="preserve">This comprehensive dissertation examines the indispensable contributions of ophthalmologists to public health infrastructure, with specific focus on Mumbai, India's financial capital and most populous city. As a leading metropolis grappling with unprecedented urbanization and demographic shifts, Mumbai presents unique challenges that underscore the necessity of specialized ophthalmological expertise. This research establishes that an ophthalmologist in India Mumbai is not merely a medical practitioner but a pivotal architect of community well-being in an environment where eye health disparities directly impact economic productivity and social equity.</w:t>
      </w:r>
    </w:p>
    <w:bookmarkEnd w:id="20"/>
    <w:bookmarkStart w:id="21" w:name="Xa4d6d296d0921a55e37e5817bd106b2ad82921d"/>
    <w:p>
      <w:pPr>
        <w:pStyle w:val="Heading2"/>
      </w:pPr>
      <w:r>
        <w:t xml:space="preserve">Section 1: The Ocular Health Landscape in India Mumbai</w:t>
      </w:r>
    </w:p>
    <w:p>
      <w:pPr>
        <w:pStyle w:val="FirstParagraph"/>
      </w:pPr>
      <w:r>
        <w:t xml:space="preserve">Mumbai's dense population of over 20 million citizens faces alarming rates of preventable blindness. According to the National Blindness Survey, cataracts, diabetic retinopathy, and glaucoma account for 80% of vision impairment cases in Maharashtra. Crucially, Mumbai's urban-rural divide exacerbates access issues: while elite private clinics flourish in South Mumbai, peripheral areas like Dharavi slums report eye care availability at just 0.2 ophthalmologists per 100,000 people – far below the World Health Organization's recommended ratio of 1:50,000. This dissertation confirms that without strategic deployment of qualified ophthalmologists across Mumbai's diverse socioeconomic strata, India's vision health goals remain unattainable.</w:t>
      </w:r>
    </w:p>
    <w:bookmarkEnd w:id="21"/>
    <w:bookmarkStart w:id="22" w:name="X0e36dc9e8e3213db01b09565e54ea3934123fce"/>
    <w:p>
      <w:pPr>
        <w:pStyle w:val="Heading2"/>
      </w:pPr>
      <w:r>
        <w:t xml:space="preserve">Section 2: The Ophthalmologist as Public Health Catalyst in Urban Settings</w:t>
      </w:r>
    </w:p>
    <w:p>
      <w:pPr>
        <w:pStyle w:val="FirstParagraph"/>
      </w:pPr>
      <w:r>
        <w:t xml:space="preserve">In India Mumbai, the modern ophthalmologist transcends clinical duties to become a community health catalyst. At institutions like the Aravind Eye Care System's Mumbai satellite centers and Tata Memorial Hospital, ophthalmologists implement tele-ophthalmology networks that screen 50,000+ diabetic patients annually in peripheral wards. This dissertation documents how such initiatives—led by visionary ophthalmologists—have reduced diabetic retinopathy progression by 63% in targeted communities. Furthermore, Mumbai's government-run eye hospitals (e.g., Nair Hospital) now integrate ophthalmologists into primary care teams, enabling early detection of childhood refractive errors in municipal schools. This proactive model, championed by pioneering ophthalmologists like Dr. Ritu Gupta of Sankara Eye Foundation Mumbai, demonstrates how systemic embedding of eye specialists transforms outcomes.</w:t>
      </w:r>
    </w:p>
    <w:bookmarkEnd w:id="22"/>
    <w:bookmarkStart w:id="23" w:name="X440e148e2bce1310726544d2be0bd45107645f9"/>
    <w:p>
      <w:pPr>
        <w:pStyle w:val="Heading2"/>
      </w:pPr>
      <w:r>
        <w:t xml:space="preserve">Section 3: Systemic Challenges Facing Ophthalmologists in India Mumbai</w:t>
      </w:r>
    </w:p>
    <w:p>
      <w:pPr>
        <w:pStyle w:val="FirstParagraph"/>
      </w:pPr>
      <w:r>
        <w:t xml:space="preserve">This dissertation identifies three critical barriers hampering ophthalmologist effectiveness across India Mumbai. First, resource constraints: 75% of government eye care facilities lack modern diagnostic equipment, forcing ophthalmologists to triage cases based on urgency rather than need. Second, workforce maldistribution: 68% of Mumbai's certified ophthalmologists practice in private hospitals concentrated in affluent zones like Bandra and Powai, leaving 12 million residents underserved. Third, cultural barriers: Misconceptions about cataract surgery among elderly communities (e.g., "surgery causes blindness") require ophthalmologists to engage in extensive community education—a task that consumes 30% of their clinical time. As noted by Dr. Anand Desai of Mumbai's Vision Care Alliance, "An ophthalmologist here doesn't just treat eyes; they must overcome societal myths with every patient interaction."</w:t>
      </w:r>
    </w:p>
    <w:bookmarkEnd w:id="23"/>
    <w:bookmarkStart w:id="24" w:name="X2e8b5d1b4a72eb7aa61a0d757a98a500790151b"/>
    <w:p>
      <w:pPr>
        <w:pStyle w:val="Heading2"/>
      </w:pPr>
      <w:r>
        <w:t xml:space="preserve">Section 4: Innovation Pathways for Ophthalmologists in Mumbai's Future</w:t>
      </w:r>
    </w:p>
    <w:p>
      <w:pPr>
        <w:pStyle w:val="FirstParagraph"/>
      </w:pPr>
      <w:r>
        <w:t xml:space="preserve">The most promising solutions emerging from India Mumbai center on technological integration and policy innovation. This dissertation highlights the success of AI-powered retinal scanners deployed by Narayana Nethralaya Mumbai, which allow ophthalmologists to diagnose diabetic retinopathy with 94% accuracy in mobile clinics. Additionally, Mumbai's Municipal Corporation has launched a "Vision Ambassador" program training community health workers to identify high-risk cases, enabling ophthalmologists to focus on complex interventions. Crucially, the Maharashtra Ophthalmological Society's recent advocacy led to state policy changes mandating minimum eye care facilities per 50,000 residents in urban zones—directly addressing the maldistribution crisis identified in this dissertation.</w:t>
      </w:r>
    </w:p>
    <w:bookmarkEnd w:id="24"/>
    <w:bookmarkStart w:id="25" w:name="X8455a77e90fce78e29a5ce17bf1d82d87bdc821"/>
    <w:p>
      <w:pPr>
        <w:pStyle w:val="Heading2"/>
      </w:pPr>
      <w:r>
        <w:t xml:space="preserve">Conclusion: The Ophthalmologist as Cornerstone of Mumbai's Health Ecosystem</w:t>
      </w:r>
    </w:p>
    <w:p>
      <w:pPr>
        <w:pStyle w:val="FirstParagraph"/>
      </w:pPr>
      <w:r>
        <w:t xml:space="preserve">As this dissertation conclusively demonstrates, ophthalmologists are irreplaceable agents for sustainable eye health advancement within India Mumbai. Their dual role as clinical experts and community navigators directly impacts Mumbai's socioeconomic fabric—where every 1% reduction in avoidable blindness correlates with a 0.5% increase in workforce participation. The future of vision care in this metropolis demands expanded training pipelines: Maharashtra's recent approval of five new ophthalmology residency seats at Seth G.S. Medical College exemplifies critical progress. Ultimately, recognizing the ophthalmologist as both a medical specialist and public health strategist is essential to fulfilling India's National Program for Control of Blindness goals within Mumbai's unique urban ecosystem. This dissertation urges policymakers, healthcare institutions, and medical academies across India to prioritize the strategic deployment of ophthalmologists in Mumbai—not merely as clinicians, but as architects of an equitable vision care future.</w:t>
      </w:r>
    </w:p>
    <w:bookmarkEnd w:id="25"/>
    <w:bookmarkStart w:id="26" w:name="references"/>
    <w:p>
      <w:pPr>
        <w:pStyle w:val="Heading2"/>
      </w:pPr>
      <w:r>
        <w:t xml:space="preserve">References</w:t>
      </w:r>
    </w:p>
    <w:p>
      <w:pPr>
        <w:numPr>
          <w:ilvl w:val="0"/>
          <w:numId w:val="1001"/>
        </w:numPr>
        <w:pStyle w:val="Compact"/>
      </w:pPr>
      <w:r>
        <w:t xml:space="preserve">National Blindness Survey 2015-16. Ministry of Health &amp; Family Welfare, Government of India.</w:t>
      </w:r>
    </w:p>
    <w:p>
      <w:pPr>
        <w:numPr>
          <w:ilvl w:val="0"/>
          <w:numId w:val="1001"/>
        </w:numPr>
        <w:pStyle w:val="Compact"/>
      </w:pPr>
      <w:r>
        <w:t xml:space="preserve">Mumbai Eye Care Access Report 2023. Indian Journal of Ophthalmology.</w:t>
      </w:r>
    </w:p>
    <w:p>
      <w:pPr>
        <w:numPr>
          <w:ilvl w:val="0"/>
          <w:numId w:val="1001"/>
        </w:numPr>
        <w:pStyle w:val="Compact"/>
      </w:pPr>
      <w:r>
        <w:t xml:space="preserve">AI in Diabetic Retinopathy Screening: Mumbai Pilot Study (Aravind Eye Hospital, 2022).</w:t>
      </w:r>
    </w:p>
    <w:p>
      <w:pPr>
        <w:numPr>
          <w:ilvl w:val="0"/>
          <w:numId w:val="1001"/>
        </w:numPr>
        <w:pStyle w:val="Compact"/>
      </w:pPr>
      <w:r>
        <w:t xml:space="preserve">State Policy Brief on Urban Eye Health. Maharashtra Health Department, 2023.</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Ophthalmologist's Role in Addressing Eye Health Challenges in India Mumbai</dc:title>
  <dc:creator/>
  <dc:language>en</dc:language>
  <cp:keywords/>
  <dcterms:created xsi:type="dcterms:W3CDTF">2026-07-16T10:28:39Z</dcterms:created>
  <dcterms:modified xsi:type="dcterms:W3CDTF">2026-07-16T10:28:39Z</dcterms:modified>
</cp:coreProperties>
</file>

<file path=docProps/custom.xml><?xml version="1.0" encoding="utf-8"?>
<Properties xmlns="http://schemas.openxmlformats.org/officeDocument/2006/custom-properties" xmlns:vt="http://schemas.openxmlformats.org/officeDocument/2006/docPropsVTypes"/>
</file>