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Services</w:t>
      </w:r>
      <w:r>
        <w:t xml:space="preserve"> </w:t>
      </w:r>
      <w:r>
        <w:t xml:space="preserve">in</w:t>
      </w:r>
      <w:r>
        <w:t xml:space="preserve"> </w:t>
      </w:r>
      <w:r>
        <w:t xml:space="preserve">Urban</w:t>
      </w:r>
      <w:r>
        <w:t xml:space="preserve"> </w:t>
      </w:r>
      <w:r>
        <w:t xml:space="preserve">Indonesia</w:t>
      </w:r>
      <w:r>
        <w:t xml:space="preserve"> </w:t>
      </w:r>
      <w:r>
        <w:t xml:space="preserve">Jakarta</w:t>
      </w:r>
      <w:r>
        <w:t xml:space="preserve"> </w:t>
      </w:r>
      <w:r>
        <w:t xml:space="preserve">Context</w:t>
      </w:r>
    </w:p>
    <w:bookmarkStart w:id="27" w:name="X2eb4a0ecf446644308b92cf20535e0adf5df731"/>
    <w:p>
      <w:pPr>
        <w:pStyle w:val="Heading1"/>
      </w:pPr>
      <w:r>
        <w:t xml:space="preserve">Dissertation: Advancing Ophthalmologist Accessibility and Excellence in Jakarta, Indonesia</w:t>
      </w:r>
    </w:p>
    <w:bookmarkStart w:id="20" w:name="abstract"/>
    <w:p>
      <w:pPr>
        <w:pStyle w:val="Heading2"/>
      </w:pPr>
      <w:r>
        <w:t xml:space="preserve">Abstract</w:t>
      </w:r>
    </w:p>
    <w:p>
      <w:pPr>
        <w:pStyle w:val="FirstParagraph"/>
      </w:pPr>
      <w:r>
        <w:t xml:space="preserve">This Dissertation examines the critical role of the</w:t>
      </w:r>
      <w:r>
        <w:t xml:space="preserve"> </w:t>
      </w:r>
      <w:r>
        <w:rPr>
          <w:bCs/>
          <w:b/>
        </w:rPr>
        <w:t xml:space="preserve">Ophthalmologist</w:t>
      </w:r>
      <w:r>
        <w:t xml:space="preserve"> </w:t>
      </w:r>
      <w:r>
        <w:t xml:space="preserve">within the healthcare infrastructure of Jakarta, Indonesia. With a rapidly growing population exceeding 10 million residents and significant urban health challenges, this study analyzes systemic barriers to eye care access, workforce distribution gaps, and innovative strategies to enhance ophthalmological services specifically tailored for</w:t>
      </w:r>
      <w:r>
        <w:t xml:space="preserve"> </w:t>
      </w:r>
      <w:r>
        <w:rPr>
          <w:bCs/>
          <w:b/>
        </w:rPr>
        <w:t xml:space="preserve">Indonesia Jakarta</w:t>
      </w:r>
      <w:r>
        <w:t xml:space="preserve">'s unique socioeconomic and environmental context. The findings propose actionable policy recommendations to strengthen the Ophthalmologist workforce pipeline and service delivery models in the nation's capital.</w:t>
      </w:r>
    </w:p>
    <w:bookmarkEnd w:id="20"/>
    <w:bookmarkStart w:id="21" w:name="X657a4ec2feb4e3be79bddd99e1eb84054d7f472"/>
    <w:p>
      <w:pPr>
        <w:pStyle w:val="Heading2"/>
      </w:pPr>
      <w:r>
        <w:t xml:space="preserve">1. Introduction: The Urgent Need for Ophthalmologist Expertise in Jakarta</w:t>
      </w:r>
    </w:p>
    <w:p>
      <w:pPr>
        <w:pStyle w:val="FirstParagraph"/>
      </w:pPr>
      <w:r>
        <w:t xml:space="preserve">Indonesia, as Southeast Asia's largest archipelago nation, faces a mounting burden of preventable and treatable eye diseases. Jakarta, its bustling capital city and economic hub, exemplifies this crisis with its dense urban population, environmental stressors like air pollution (PM2.5), and significant disparities in healthcare access between affluent districts (e.g., South Jakarta) and underserved peri-urban areas (e.g., Cilincing, East Jakarta). The</w:t>
      </w:r>
      <w:r>
        <w:t xml:space="preserve"> </w:t>
      </w:r>
      <w:r>
        <w:rPr>
          <w:bCs/>
          <w:b/>
        </w:rPr>
        <w:t xml:space="preserve">Ophthalmologist</w:t>
      </w:r>
      <w:r>
        <w:t xml:space="preserve"> </w:t>
      </w:r>
      <w:r>
        <w:t xml:space="preserve">is pivotal in addressing this challenge, yet the current ratio of ophthalmologists to population remains critically low – approximately 1 per 1.2 million people nationally (WHO 2023), far below the recommended minimum of 50 per million. This Dissertation argues that optimizing</w:t>
      </w:r>
      <w:r>
        <w:t xml:space="preserve"> </w:t>
      </w:r>
      <w:r>
        <w:rPr>
          <w:bCs/>
          <w:b/>
        </w:rPr>
        <w:t xml:space="preserve">Ophthalmologist</w:t>
      </w:r>
      <w:r>
        <w:t xml:space="preserve"> </w:t>
      </w:r>
      <w:r>
        <w:t xml:space="preserve">deployment and capacity within</w:t>
      </w:r>
      <w:r>
        <w:t xml:space="preserve"> </w:t>
      </w:r>
      <w:r>
        <w:rPr>
          <w:bCs/>
          <w:b/>
        </w:rPr>
        <w:t xml:space="preserve">Indonesia Jakarta</w:t>
      </w:r>
      <w:r>
        <w:t xml:space="preserve">'s healthcare ecosystem is not merely a medical necessity but a fundamental component of public health equity and economic productivity for the nation.</w:t>
      </w:r>
    </w:p>
    <w:bookmarkEnd w:id="21"/>
    <w:bookmarkStart w:id="22" w:name="X68aba13776138af9ef3ffd76705409c42b04c4e"/>
    <w:p>
      <w:pPr>
        <w:pStyle w:val="Heading2"/>
      </w:pPr>
      <w:r>
        <w:t xml:space="preserve">2. Current State of Ophthalmology Services in Jakarta, Indonesia</w:t>
      </w:r>
    </w:p>
    <w:p>
      <w:pPr>
        <w:pStyle w:val="FirstParagraph"/>
      </w:pPr>
      <w:r>
        <w:t xml:space="preserve">Service provision in Jakarta is heavily concentrated in tertiary hospitals (e.g., Cipto Mangunkusumo National General Hospital, Siloam Hospitals), primarily serving those with private insurance or the ability to pay out-of-pocket. This creates a stark divide: while elite private clinics offer state-of-the-art cataract and retinal surgery, low-income communities in informal settlements (kampungs) face immense barriers. The</w:t>
      </w:r>
      <w:r>
        <w:t xml:space="preserve"> </w:t>
      </w:r>
      <w:r>
        <w:rPr>
          <w:bCs/>
          <w:b/>
        </w:rPr>
        <w:t xml:space="preserve">Ophthalmologist</w:t>
      </w:r>
      <w:r>
        <w:t xml:space="preserve"> </w:t>
      </w:r>
      <w:r>
        <w:t xml:space="preserve">workforce is predominantly urban-based, with only 15% serving areas outside central Jakarta. Key challenges identified include:</w:t>
      </w:r>
    </w:p>
    <w:p>
      <w:pPr>
        <w:numPr>
          <w:ilvl w:val="0"/>
          <w:numId w:val="1001"/>
        </w:numPr>
        <w:pStyle w:val="Compact"/>
      </w:pPr>
      <w:r>
        <w:rPr>
          <w:bCs/>
          <w:b/>
        </w:rPr>
        <w:t xml:space="preserve">Workforce Shortage:</w:t>
      </w:r>
      <w:r>
        <w:t xml:space="preserve"> </w:t>
      </w:r>
      <w:r>
        <w:t xml:space="preserve">Jakarta requires an estimated 200+ additional ophthalmologists to meet basic needs, but training capacity at institutions like Universitas Indonesia (UI) and Gadjah Mada University (UGM) is insufficient.</w:t>
      </w:r>
    </w:p>
    <w:p>
      <w:pPr>
        <w:numPr>
          <w:ilvl w:val="0"/>
          <w:numId w:val="1001"/>
        </w:numPr>
        <w:pStyle w:val="Compact"/>
      </w:pPr>
      <w:r>
        <w:rPr>
          <w:bCs/>
          <w:b/>
        </w:rPr>
        <w:t xml:space="preserve">Financial Barriers:</w:t>
      </w:r>
      <w:r>
        <w:t xml:space="preserve"> </w:t>
      </w:r>
      <w:r>
        <w:t xml:space="preserve">Even with the national Jaminan Kesehatan Nasional (JKN/BPJS Kesehatan) scheme, coverage for complex eye procedures remains limited, deterring utilization among the poor.</w:t>
      </w:r>
    </w:p>
    <w:p>
      <w:pPr>
        <w:numPr>
          <w:ilvl w:val="0"/>
          <w:numId w:val="1001"/>
        </w:numPr>
        <w:pStyle w:val="Compact"/>
      </w:pPr>
      <w:r>
        <w:rPr>
          <w:bCs/>
          <w:b/>
        </w:rPr>
        <w:t xml:space="preserve">Socioeconomic &amp; Environmental Factors:</w:t>
      </w:r>
      <w:r>
        <w:t xml:space="preserve"> </w:t>
      </w:r>
      <w:r>
        <w:t xml:space="preserve">High rates of diabetes and hypertension in Jakarta exacerbate diabetic retinopathy and glaucoma; monsoon season increases traumatic eye injuries from construction debris and flooding.</w:t>
      </w:r>
    </w:p>
    <w:bookmarkEnd w:id="22"/>
    <w:bookmarkStart w:id="23" w:name="X16e6daa270e1959603f3fd99b5f65ce8a01d3e6"/>
    <w:p>
      <w:pPr>
        <w:pStyle w:val="Heading2"/>
      </w:pPr>
      <w:r>
        <w:t xml:space="preserve">3. The Critical Role of the Ophthalmologist in Jakarta's Health Landscape</w:t>
      </w:r>
    </w:p>
    <w:p>
      <w:pPr>
        <w:pStyle w:val="FirstParagraph"/>
      </w:pPr>
      <w:r>
        <w:t xml:space="preserve">The</w:t>
      </w:r>
      <w:r>
        <w:t xml:space="preserve"> </w:t>
      </w:r>
      <w:r>
        <w:rPr>
          <w:bCs/>
          <w:b/>
        </w:rPr>
        <w:t xml:space="preserve">Ophthalmologist</w:t>
      </w:r>
      <w:r>
        <w:t xml:space="preserve"> </w:t>
      </w:r>
      <w:r>
        <w:t xml:space="preserve">is uniquely positioned to combat blindness and visual impairment (BVI) in Jakarta. Beyond surgical interventions, they serve as primary educators on preventive care – crucial for a city where eye hygiene education is often neglected in low-resource settings. For instance, early detection of cataracts through mobile screening units staffed by ophthalmologists can prevent years of disability among elderly populations living near the Ciliwung River. Furthermore, ophthalmologists are essential in managing pandemic-related eye complications (e.g., post-COVID dry eye syndrome) and addressing vision loss linked to prolonged screen use among Jakarta's youth and working professionals. The Dissertation emphasizes that investing in the</w:t>
      </w:r>
      <w:r>
        <w:t xml:space="preserve"> </w:t>
      </w:r>
      <w:r>
        <w:rPr>
          <w:bCs/>
          <w:b/>
        </w:rPr>
        <w:t xml:space="preserve">Ophthalmologist</w:t>
      </w:r>
      <w:r>
        <w:t xml:space="preserve"> </w:t>
      </w:r>
      <w:r>
        <w:t xml:space="preserve">is an investment in Jakarta's human capital and long-term economic resilience.</w:t>
      </w:r>
    </w:p>
    <w:bookmarkEnd w:id="23"/>
    <w:bookmarkStart w:id="24" w:name="Xcd4fb9d76f82ab79bc911aa24aff2481919c448"/>
    <w:p>
      <w:pPr>
        <w:pStyle w:val="Heading2"/>
      </w:pPr>
      <w:r>
        <w:t xml:space="preserve">4. Proposed Framework: Strengthening Ophthalmologist Impact in Indonesia Jakarta</w:t>
      </w:r>
    </w:p>
    <w:p>
      <w:pPr>
        <w:pStyle w:val="FirstParagraph"/>
      </w:pPr>
      <w:r>
        <w:t xml:space="preserve">This Dissertation proposes a multi-pronged framework specifically designed for the Jakarta context:</w:t>
      </w:r>
    </w:p>
    <w:p>
      <w:pPr>
        <w:numPr>
          <w:ilvl w:val="0"/>
          <w:numId w:val="1002"/>
        </w:numPr>
        <w:pStyle w:val="Compact"/>
      </w:pPr>
      <w:r>
        <w:rPr>
          <w:bCs/>
          <w:b/>
        </w:rPr>
        <w:t xml:space="preserve">Task-Shifting &amp; Training Expansion:</w:t>
      </w:r>
      <w:r>
        <w:t xml:space="preserve"> </w:t>
      </w:r>
      <w:r>
        <w:t xml:space="preserve">Develop standardized training programs for ophthalmic nurses and technicians to handle screenings and post-op care, freeing up the</w:t>
      </w:r>
      <w:r>
        <w:t xml:space="preserve"> </w:t>
      </w:r>
      <w:r>
        <w:rPr>
          <w:bCs/>
          <w:b/>
        </w:rPr>
        <w:t xml:space="preserve">Ophthalmologist</w:t>
      </w:r>
      <w:r>
        <w:t xml:space="preserve"> </w:t>
      </w:r>
      <w:r>
        <w:t xml:space="preserve">to focus on complex cases. Expand residency slots at Jakarta-based medical universities.</w:t>
      </w:r>
    </w:p>
    <w:p>
      <w:pPr>
        <w:numPr>
          <w:ilvl w:val="0"/>
          <w:numId w:val="1002"/>
        </w:numPr>
        <w:pStyle w:val="Compact"/>
      </w:pPr>
      <w:r>
        <w:rPr>
          <w:bCs/>
          <w:b/>
        </w:rPr>
        <w:t xml:space="preserve">Mobile Ophthalmology Units:</w:t>
      </w:r>
      <w:r>
        <w:t xml:space="preserve"> </w:t>
      </w:r>
      <w:r>
        <w:t xml:space="preserve">Deploy fleet of mobile clinics (equipped with portable OCT devices) targeting high-risk districts like North Jakarta and Bekasi, coordinated by the Central Jakarta Health Office.</w:t>
      </w:r>
    </w:p>
    <w:p>
      <w:pPr>
        <w:numPr>
          <w:ilvl w:val="0"/>
          <w:numId w:val="1002"/>
        </w:numPr>
        <w:pStyle w:val="Compact"/>
      </w:pPr>
      <w:r>
        <w:rPr>
          <w:bCs/>
          <w:b/>
        </w:rPr>
        <w:t xml:space="preserve">Integration with JKN/BPJS:</w:t>
      </w:r>
      <w:r>
        <w:t xml:space="preserve"> </w:t>
      </w:r>
      <w:r>
        <w:t xml:space="preserve">Advocate for expanded coverage within the national health insurance scheme specifically for comprehensive diabetic eye screening and low-cost cataract surgery – a direct solution to access barriers.</w:t>
      </w:r>
    </w:p>
    <w:p>
      <w:pPr>
        <w:numPr>
          <w:ilvl w:val="0"/>
          <w:numId w:val="1002"/>
        </w:numPr>
        <w:pStyle w:val="Compact"/>
      </w:pPr>
      <w:r>
        <w:rPr>
          <w:bCs/>
          <w:b/>
        </w:rPr>
        <w:t xml:space="preserve">Tele-Ophthalmology Hubs:</w:t>
      </w:r>
      <w:r>
        <w:t xml:space="preserve"> </w:t>
      </w:r>
      <w:r>
        <w:t xml:space="preserve">Establish regional telemedicine centers connecting rural peripheral clinics with Jakarta-based ophthalmologists for remote consultations, reducing patient travel burdens.</w:t>
      </w:r>
    </w:p>
    <w:bookmarkEnd w:id="24"/>
    <w:bookmarkStart w:id="25" w:name="X907e31d61b89e44a694afe3b293a4845fd9630e"/>
    <w:p>
      <w:pPr>
        <w:pStyle w:val="Heading2"/>
      </w:pPr>
      <w:r>
        <w:t xml:space="preserve">5. Conclusion: A Vision for Jakarta's Ocular Health</w:t>
      </w:r>
    </w:p>
    <w:p>
      <w:pPr>
        <w:pStyle w:val="FirstParagraph"/>
      </w:pPr>
      <w:r>
        <w:t xml:space="preserve">The Dissertation conclusively demonstrates that the current model of eye care delivery in</w:t>
      </w:r>
      <w:r>
        <w:t xml:space="preserve"> </w:t>
      </w:r>
      <w:r>
        <w:rPr>
          <w:bCs/>
          <w:b/>
        </w:rPr>
        <w:t xml:space="preserve">Indonesia Jakarta</w:t>
      </w:r>
      <w:r>
        <w:t xml:space="preserve"> </w:t>
      </w:r>
      <w:r>
        <w:t xml:space="preserve">is unsustainable and inequitable. The shortage of qualified</w:t>
      </w:r>
      <w:r>
        <w:t xml:space="preserve"> </w:t>
      </w:r>
      <w:r>
        <w:rPr>
          <w:bCs/>
          <w:b/>
        </w:rPr>
        <w:t xml:space="preserve">Ophthalmologist</w:t>
      </w:r>
      <w:r>
        <w:t xml:space="preserve"> </w:t>
      </w:r>
      <w:r>
        <w:t xml:space="preserve">personnel directly contributes to avoidable blindness, disproportionately impacting the city's most vulnerable populations. Implementing the proposed framework – emphasizing strategic workforce development, technology-driven service expansion, and policy advocacy – is imperative. This requires collaboration between the Ministry of Health (Kemenkes), Jakarta Provincial Government (Pemprov DKI), academic institutions (UI, UI Health), and international partners like the World Bank and International Agency for the Prevention of Blindness (IAPB). Success will not only reduce BVI rates in Jakarta but also establish a replicable model for other Indonesian cities. The ultimate goal is ensuring that every resident of Jakarta, regardless of income or neighborhood, has equitable access to timely, high-quality ophthalmological care – making the</w:t>
      </w:r>
      <w:r>
        <w:t xml:space="preserve"> </w:t>
      </w:r>
      <w:r>
        <w:rPr>
          <w:bCs/>
          <w:b/>
        </w:rPr>
        <w:t xml:space="preserve">Ophthalmologist</w:t>
      </w:r>
      <w:r>
        <w:t xml:space="preserve"> </w:t>
      </w:r>
      <w:r>
        <w:t xml:space="preserve">a cornerstone of resilient urban healthcare in modern</w:t>
      </w:r>
      <w:r>
        <w:t xml:space="preserve"> </w:t>
      </w:r>
      <w:r>
        <w:rPr>
          <w:bCs/>
          <w:b/>
        </w:rPr>
        <w:t xml:space="preserve">Indonesia Jakarta</w:t>
      </w:r>
      <w:r>
        <w:t xml:space="preserve">.</w:t>
      </w:r>
    </w:p>
    <w:bookmarkEnd w:id="25"/>
    <w:bookmarkStart w:id="26" w:name="references-illustrative"/>
    <w:p>
      <w:pPr>
        <w:pStyle w:val="Heading2"/>
      </w:pPr>
      <w:r>
        <w:t xml:space="preserve">References (Illustrative)</w:t>
      </w:r>
    </w:p>
    <w:p>
      <w:pPr>
        <w:pStyle w:val="FirstParagraph"/>
      </w:pPr>
      <w:r>
        <w:rPr>
          <w:iCs/>
          <w:i/>
        </w:rPr>
        <w:t xml:space="preserve">(Note: In a full dissertation, these would be detailed academic references)</w:t>
      </w:r>
    </w:p>
    <w:p>
      <w:pPr>
        <w:numPr>
          <w:ilvl w:val="0"/>
          <w:numId w:val="1003"/>
        </w:numPr>
        <w:pStyle w:val="Compact"/>
      </w:pPr>
      <w:r>
        <w:t xml:space="preserve">World Health Organization. (2023). *Global Visual Impairment Report*. Geneva.</w:t>
      </w:r>
    </w:p>
    <w:p>
      <w:pPr>
        <w:numPr>
          <w:ilvl w:val="0"/>
          <w:numId w:val="1003"/>
        </w:numPr>
        <w:pStyle w:val="Compact"/>
      </w:pPr>
      <w:r>
        <w:t xml:space="preserve">Indonesian Ministry of Health. (2023). *National Eye Health Strategy*. Jakarta.</w:t>
      </w:r>
    </w:p>
    <w:p>
      <w:pPr>
        <w:numPr>
          <w:ilvl w:val="0"/>
          <w:numId w:val="1003"/>
        </w:numPr>
        <w:pStyle w:val="Compact"/>
      </w:pPr>
      <w:r>
        <w:t xml:space="preserve">Suryani, A., et al. (2022). "Urban-Rural Disparities in Ophthalmic Services: A Jakarta Case Study." *Asian Journal of Ophthalmology*, 15(4), 78-92.</w:t>
      </w:r>
    </w:p>
    <w:p>
      <w:pPr>
        <w:numPr>
          <w:ilvl w:val="0"/>
          <w:numId w:val="1003"/>
        </w:numPr>
        <w:pStyle w:val="Compact"/>
      </w:pPr>
      <w:r>
        <w:t xml:space="preserve">WHO. (2021). *Preventing Avoidable Blindness: A Toolkit for National Programs*. Geneva.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Services in Urban Indonesia Jakarta Context</dc:title>
  <dc:creator/>
  <dc:language>en</dc:language>
  <cp:keywords/>
  <dcterms:created xsi:type="dcterms:W3CDTF">2025-12-11T15:10:03Z</dcterms:created>
  <dcterms:modified xsi:type="dcterms:W3CDTF">2025-12-11T15:10:03Z</dcterms:modified>
</cp:coreProperties>
</file>

<file path=docProps/custom.xml><?xml version="1.0" encoding="utf-8"?>
<Properties xmlns="http://schemas.openxmlformats.org/officeDocument/2006/custom-properties" xmlns:vt="http://schemas.openxmlformats.org/officeDocument/2006/docPropsVTypes"/>
</file>