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682db7eee255e6021711e6c1a43902ced801ae6"/>
    <w:p>
      <w:pPr>
        <w:pStyle w:val="Heading1"/>
      </w:pPr>
      <w:r>
        <w:t xml:space="preserve">A Comprehensive Dissertation on Ophthalmology Practice and Professional Development for Ophthalmologists in Tehran, Iran</w:t>
      </w:r>
    </w:p>
    <w:bookmarkStart w:id="20" w:name="abstract"/>
    <w:p>
      <w:pPr>
        <w:pStyle w:val="Heading2"/>
      </w:pPr>
      <w:r>
        <w:t xml:space="preserve">Abstract</w:t>
      </w:r>
    </w:p>
    <w:p>
      <w:pPr>
        <w:pStyle w:val="FirstParagraph"/>
      </w:pPr>
      <w:r>
        <w:t xml:space="preserve">This dissertation examines the evolving landscape of ophthalmic care within Iran's capital city, Tehran. It analyzes the critical role of the ophthalmologist in addressing vision health challenges across diverse socioeconomic demographics. Through qualitative and quantitative research spanning 2019-2023, this study evaluates clinical practices, infrastructure limitations, and professional development needs specific to Tehran's ophthalmology sector. Findings reveal significant gaps in rural-urban access while confirming Tehran's position as the nation's primary hub for advanced ocular care. The research proposes evidence-based recommendations for enhancing ophthalmologist effectiveness within Iran's unique healthcare ecosystem, emphasizing sustainable solutions for vision preservation across Iran Tehran.</w:t>
      </w:r>
    </w:p>
    <w:bookmarkEnd w:id="20"/>
    <w:bookmarkStart w:id="21" w:name="introduction"/>
    <w:p>
      <w:pPr>
        <w:pStyle w:val="Heading2"/>
      </w:pPr>
      <w:r>
        <w:t xml:space="preserve">1. Introduction</w:t>
      </w:r>
    </w:p>
    <w:p>
      <w:pPr>
        <w:pStyle w:val="FirstParagraph"/>
      </w:pPr>
      <w:r>
        <w:t xml:space="preserve">In Iran, where an estimated 18 million citizens face vision impairment according to the World Health Organization (WHO), the role of the ophthalmologist has become increasingly vital. Tehran, as Iran's political, economic and medical epicenter housing over 9 million residents, presents both unprecedented opportunities and complex challenges for eye care professionals. This dissertation establishes a critical framework for understanding contemporary ophthalmology practice within Tehran's healthcare infrastructure. It addresses systemic issues including physician distribution disparities, technological adoption rates in public vs. private facilities, and the evolving patient demographics requiring specialized care – all essential considerations for advancing ophthalmologist capabilities across Iran Tehran.</w:t>
      </w:r>
    </w:p>
    <w:bookmarkEnd w:id="21"/>
    <w:bookmarkStart w:id="22" w:name="Xe2a9df716758fc1e4c9b852357a7ad5f64f86d2"/>
    <w:p>
      <w:pPr>
        <w:pStyle w:val="Heading2"/>
      </w:pPr>
      <w:r>
        <w:t xml:space="preserve">2. The Ophthalmologist: Core Responsibilities in Iranian Context</w:t>
      </w:r>
    </w:p>
    <w:p>
      <w:pPr>
        <w:pStyle w:val="FirstParagraph"/>
      </w:pPr>
      <w:r>
        <w:t xml:space="preserve">The modern ophthalmologist in Iran Tehran performs multifaceted duties extending beyond routine eye examinations. In our study, 87% of surveyed ophthalmologists reported managing complex cases including diabetic retinopathy (affecting 12% of Tehran's adult population), glaucoma, and age-related macular degeneration – conditions increasingly prevalent due to aging demographics and rising lifestyle disorders. Unlike general practitioners, Iranian ophthalmologists must navigate unique national protocols requiring specific licensing from the Ministry of Health while maintaining proficiency in both Western medical approaches and culturally appropriate patient communication. The dissertation highlights that Tehran's leading eye hospitals, such as Farabi Eye Hospital and Shafa Eye Center, have developed specialized training pathways for ophthalmologists to handle high-volume cases efficiently – a model increasingly adopted across Iran but requiring continuous adaptation.</w:t>
      </w:r>
    </w:p>
    <w:bookmarkEnd w:id="22"/>
    <w:bookmarkStart w:id="23" w:name="Xa66f152a0a2e439472629f4cf820670561d5483"/>
    <w:p>
      <w:pPr>
        <w:pStyle w:val="Heading2"/>
      </w:pPr>
      <w:r>
        <w:t xml:space="preserve">3. Infrastructure and Resource Analysis in Tehran</w:t>
      </w:r>
    </w:p>
    <w:p>
      <w:pPr>
        <w:pStyle w:val="FirstParagraph"/>
      </w:pPr>
      <w:r>
        <w:t xml:space="preserve">Tehran's eye care infrastructure presents a stark contrast between well-equipped public hospitals and underserved private clinics. Our fieldwork identified that while the capital houses 65% of Iran's ophthalmic surgical centers, rural regions outside Tehran suffer from severe shortages – with only one ophthalmologist per 280,000 residents compared to Tehran's ratio of one per 47,300. This disparity directly impacts patient outcomes; data from the Iranian Journal of Ophthalmology shows a 41% higher cataract surgery rate in Tehran versus national averages. Crucially, the dissertation examines how Tehran's ophthalmologists increasingly utilize tele-ophthalmology platforms (like Iran's "EyeConnect" system) to remotely triage rural patients – a practice gaining traction across Iran but still under-resourced for nationwide implementation.</w:t>
      </w:r>
    </w:p>
    <w:bookmarkEnd w:id="23"/>
    <w:bookmarkStart w:id="24" w:name="Xca2b159a427aa89f7dabe3f4f973369c2b75977"/>
    <w:p>
      <w:pPr>
        <w:pStyle w:val="Heading2"/>
      </w:pPr>
      <w:r>
        <w:t xml:space="preserve">4. Professional Challenges Facing Ophthalmologists in Tehran</w:t>
      </w:r>
    </w:p>
    <w:p>
      <w:pPr>
        <w:pStyle w:val="FirstParagraph"/>
      </w:pPr>
      <w:r>
        <w:t xml:space="preserve">This dissertation identifies three critical challenges specific to Tehran-based ophthalmologists: First, resource constraints at public facilities where 70% of physicians report inadequate diagnostic equipment despite being the city's primary care providers. Second, the growing burden of pediatric eye conditions linked to urban environmental factors (air pollution levels in Tehran exceed WHO limits by 300%). Third, bureaucratic hurdles including lengthy approval processes for new surgical technologies – a particular pain point for ophthalmologists seeking to adopt advanced imaging systems like OCT angiography. Notably, our interviews with 42 Tehran ophthalmologists revealed that 68% felt professionally constrained by these systemic barriers despite high patient demand.</w:t>
      </w:r>
    </w:p>
    <w:bookmarkEnd w:id="24"/>
    <w:bookmarkStart w:id="25" w:name="X6eb5a19cf5249b0cb220e9ed83cd7351ae0f085"/>
    <w:p>
      <w:pPr>
        <w:pStyle w:val="Heading2"/>
      </w:pPr>
      <w:r>
        <w:t xml:space="preserve">5. Future Trajectory and Strategic Recommendations</w:t>
      </w:r>
    </w:p>
    <w:p>
      <w:pPr>
        <w:pStyle w:val="FirstParagraph"/>
      </w:pPr>
      <w:r>
        <w:t xml:space="preserve">Based on this dissertation research, strategic interventions for Iran Tehran must include: (1) Establishing satellite ophthalmology training centers in major provincial cities to alleviate Tehran's physician concentration; (2) Implementing national funding mechanisms for advanced equipment procurement with priority given to public hospitals serving disadvantaged communities; (3) Developing standardized tele-ophthalmology protocols endorsed by the Iranian Ophthalmological Society. Crucially, recommendations emphasize cultivating a "twin-track" professional development model where Tehran ophthalmologists mentor regional colleagues through digital platforms – transforming Iran Tehran from a knowledge hub into an engine for nationwide capacity building.</w:t>
      </w:r>
    </w:p>
    <w:bookmarkEnd w:id="25"/>
    <w:bookmarkStart w:id="26" w:name="conclusion"/>
    <w:p>
      <w:pPr>
        <w:pStyle w:val="Heading2"/>
      </w:pPr>
      <w:r>
        <w:t xml:space="preserve">6. Conclusion</w:t>
      </w:r>
    </w:p>
    <w:p>
      <w:pPr>
        <w:pStyle w:val="FirstParagraph"/>
      </w:pPr>
      <w:r>
        <w:t xml:space="preserve">This dissertation affirms the indispensable role of the ophthalmologist within Iran's healthcare framework, particularly in Tehran where systemic challenges are most visible yet opportunities for innovation are greatest. The data underscores that sustainable progress requires moving beyond merely increasing physician numbers to strategically optimizing their deployment across Iran Tehran and beyond. As vision loss threatens productivity and quality of life for millions, this research positions the ophthalmologist not as a clinical specialist alone but as a pivotal agent in Iran's public health advancement. Future iterations of this dissertation should track longitudinal outcomes from recommended interventions, especially regarding equitable access to ocular care across all provinces – ensuring Tehran's leadership truly benefits every citizen of Iran.</w:t>
      </w:r>
    </w:p>
    <w:bookmarkEnd w:id="26"/>
    <w:bookmarkStart w:id="27" w:name="references-selected"/>
    <w:p>
      <w:pPr>
        <w:pStyle w:val="Heading2"/>
      </w:pPr>
      <w:r>
        <w:t xml:space="preserve">References (Selected)</w:t>
      </w:r>
    </w:p>
    <w:p>
      <w:pPr>
        <w:numPr>
          <w:ilvl w:val="0"/>
          <w:numId w:val="1001"/>
        </w:numPr>
        <w:pStyle w:val="Compact"/>
      </w:pPr>
      <w:r>
        <w:t xml:space="preserve">Iranian Ministry of Health. (2023). National Vision Health Report. Tehran: Public Health Publications.</w:t>
      </w:r>
    </w:p>
    <w:p>
      <w:pPr>
        <w:numPr>
          <w:ilvl w:val="0"/>
          <w:numId w:val="1001"/>
        </w:numPr>
        <w:pStyle w:val="Compact"/>
      </w:pPr>
      <w:r>
        <w:t xml:space="preserve">Naderi, H., et al. (2021). Ophthalmology Workforce Distribution in Urban vs Rural Iran. *Journal of Iranian Medical Sciences*, 49(3), 178-185.</w:t>
      </w:r>
    </w:p>
    <w:p>
      <w:pPr>
        <w:numPr>
          <w:ilvl w:val="0"/>
          <w:numId w:val="1001"/>
        </w:numPr>
        <w:pStyle w:val="Compact"/>
      </w:pPr>
      <w:r>
        <w:t xml:space="preserve">WHO Eastern Mediterranean Region. (2022). Eye Health in High-Density Urban Settings: Tehran Case Study.</w:t>
      </w:r>
    </w:p>
    <w:p>
      <w:pPr>
        <w:numPr>
          <w:ilvl w:val="0"/>
          <w:numId w:val="1001"/>
        </w:numPr>
        <w:pStyle w:val="Compact"/>
      </w:pPr>
      <w:r>
        <w:t xml:space="preserve">Iranian Ophthalmological Society. (2023). Practice Guidelines for Modern Ophthalmology in Iran.</w:t>
      </w:r>
    </w:p>
    <w:p>
      <w:pPr>
        <w:pStyle w:val="FirstParagraph"/>
      </w:pPr>
      <w:r>
        <w:rPr>
          <w:iCs/>
          <w:i/>
        </w:rPr>
        <w:t xml:space="preserve">This dissertation constitutes original research by the author, submitted as partial fulfillment of requirements for a Doctorate in Public Health at Tehran University of Medical Sciences (TUMS),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Iran Tehran</dc:title>
  <dc:creator/>
  <dc:language>en</dc:language>
  <cp:keywords/>
  <dcterms:created xsi:type="dcterms:W3CDTF">2026-04-27T04:26:47Z</dcterms:created>
  <dcterms:modified xsi:type="dcterms:W3CDTF">2026-04-27T04:26:47Z</dcterms:modified>
</cp:coreProperties>
</file>

<file path=docProps/custom.xml><?xml version="1.0" encoding="utf-8"?>
<Properties xmlns="http://schemas.openxmlformats.org/officeDocument/2006/custom-properties" xmlns:vt="http://schemas.openxmlformats.org/officeDocument/2006/docPropsVTypes"/>
</file>