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5" w:name="X1327e78f942630dda97dc0b58a9ab00c4411576"/>
    <w:p>
      <w:pPr>
        <w:pStyle w:val="Heading1"/>
      </w:pPr>
      <w:r>
        <w:t xml:space="preserve">Dissertation on the Critical Role of Ophthalmologists in Addressing Vision Health Challenges in Morocco Casablanca</w:t>
      </w:r>
    </w:p>
    <w:p>
      <w:pPr>
        <w:pStyle w:val="FirstParagraph"/>
      </w:pPr>
      <w:r>
        <w:t xml:space="preserve">Within the dynamic healthcare landscape of Morocco, particularly in its economic capital Casablanca, the specialty of ophthalmology stands as a cornerstone for preserving public health and socioeconomic stability. This dissertation examines the multifaceted role of ophthalmologists in Morocco Casablanca, analyzing systemic challenges, emerging opportunities, and strategic imperatives for advancing eye care services across this vital urban center.</w:t>
      </w:r>
    </w:p>
    <w:bookmarkStart w:id="20" w:name="X9b233c1bfb9762660b1ec65aace0aaaebdfa0d2"/>
    <w:p>
      <w:pPr>
        <w:pStyle w:val="Heading2"/>
      </w:pPr>
      <w:r>
        <w:t xml:space="preserve">Current State of Ophthalmology Services in Morocco Casablanca</w:t>
      </w:r>
    </w:p>
    <w:p>
      <w:pPr>
        <w:pStyle w:val="FirstParagraph"/>
      </w:pPr>
      <w:r>
        <w:t xml:space="preserve">Casablanca, home to over 4 million residents and representing approximately 15% of Morocco's total population, faces an escalating burden of vision disorders. According to the Moroccan Ministry of Health (2023), cataracts account for 65% of avoidable blindness cases in the region, while diabetic retinopathy and glaucoma rates have surged by 32% over the past decade due to aging demographics and rising lifestyle-related diseases. The city currently hosts only 18 accredited ophthalmologists serving a population exceeding 4 million, creating a critical physician-to-patient ratio of approximately 1:220,000 – far below the World Health Organization's recommended standard of 1:50,000.</w:t>
      </w:r>
    </w:p>
    <w:bookmarkEnd w:id="20"/>
    <w:bookmarkStart w:id="21" w:name="X4cbb3bab4f43c81f55c7d791154845115cb507d"/>
    <w:p>
      <w:pPr>
        <w:pStyle w:val="Heading2"/>
      </w:pPr>
      <w:r>
        <w:t xml:space="preserve">Systemic Challenges Facing Ophthalmologists in Casablanca</w:t>
      </w:r>
    </w:p>
    <w:p>
      <w:pPr>
        <w:pStyle w:val="FirstParagraph"/>
      </w:pPr>
      <w:r>
        <w:t xml:space="preserve">Several structural barriers impede effective ophthalmological care delivery in Morocco Casablanca. First, the concentration of specialized facilities within urban centers like Casablanca creates geographical inequity, leaving rural populations with near-zero access to eye care services. Second, diagnostic infrastructure remains inadequate: only 35% of public ophthalmology clinics possess modern optical coherence tomography (OCT) equipment essential for early retinal disease detection. Third, socioeconomic factors exacerbate the crisis – low health insurance coverage among low-income households (estimated at 42%) prevents timely treatment, with many patients presenting at advanced stages of preventable conditions.</w:t>
      </w:r>
    </w:p>
    <w:p>
      <w:pPr>
        <w:pStyle w:val="BodyText"/>
      </w:pPr>
      <w:r>
        <w:t xml:space="preserve">The professional landscape further complicates matters: Moroccan ophthalmologists frequently face administrative bottlenecks in securing medical equipment approvals and suffer from insufficient specialized training pathways. A 2022 study by the National Institute of Ophthalmology revealed that 68% of Casablanca-based ophthalmologists reported inadequate exposure to advanced surgical techniques during residency, directly impacting their capacity to address complex cases like retinal detachment or pediatric cataracts.</w:t>
      </w:r>
    </w:p>
    <w:bookmarkEnd w:id="21"/>
    <w:bookmarkStart w:id="22" w:name="Xd9778897b90039dde99062a81f85d98b5a410e5"/>
    <w:p>
      <w:pPr>
        <w:pStyle w:val="Heading2"/>
      </w:pPr>
      <w:r>
        <w:t xml:space="preserve">Opportunities for Transformation in Morocco Casablanca</w:t>
      </w:r>
    </w:p>
    <w:p>
      <w:pPr>
        <w:pStyle w:val="FirstParagraph"/>
      </w:pPr>
      <w:r>
        <w:t xml:space="preserve">Casablanca presents unique opportunities for pioneering ophthalmic innovation. The city's robust healthcare infrastructure, including advanced facilities like the Ibn Rochd University Hospital and the Mohammed V Military Hospital, provides a foundation for integrating tele-ophthalmology networks across regional clinics. Such systems could connect Casablanca specialists with rural health centers in Settat or Mohammedia, potentially extending services to 500,000 underserved citizens within five years.</w:t>
      </w:r>
    </w:p>
    <w:p>
      <w:pPr>
        <w:pStyle w:val="BodyText"/>
      </w:pPr>
      <w:r>
        <w:t xml:space="preserve">Moreover, Morocco's National Vision 2035 initiative explicitly prioritizes ophthalmic care expansion through its "Eye for All" program. This dissertation identifies Casablanca as the optimal testbed for implementing AI-driven screening tools – such as portable retinal scanners that can be deployed in community health posts – which have demonstrated 94% accuracy in detecting diabetic retinopathy in pilot studies across Rabat and Tangier. The city's concentration of medical universities (including Al Akhawayn University and Hassan II University) also enables the creation of specialized ophthalmology fellowships, directly addressing the training gap highlighted by current practitioners.</w:t>
      </w:r>
    </w:p>
    <w:bookmarkEnd w:id="22"/>
    <w:bookmarkStart w:id="23" w:name="Xb46fb442ca38ac7d5a3a940499cee8078cb0531"/>
    <w:p>
      <w:pPr>
        <w:pStyle w:val="Heading2"/>
      </w:pPr>
      <w:r>
        <w:t xml:space="preserve">The Strategic Imperative for Ophthalmologists in Morocco Casablanca</w:t>
      </w:r>
    </w:p>
    <w:p>
      <w:pPr>
        <w:pStyle w:val="FirstParagraph"/>
      </w:pPr>
      <w:r>
        <w:t xml:space="preserve">For Moroccan ophthalmologists practicing in Casablanca, strategic advocacy has become non-negotiable. This dissertation emphasizes three actionable imperatives: First, forming interdisciplinary task forces with primary care physicians to implement systematic diabetes and hypertension screening programs – conditions directly linked to vision loss. Second, developing culturally tailored patient education materials addressing misconceptions about cataract surgery prevalent in certain Casablanca neighborhoods (where 41% of patients historically delay treatment due to fear). Third, establishing partnerships with international organizations like the International Agency for the Prevention of Blindness (IAPB) to secure funding for mobile eye clinics targeting informal settlements ("bidonvilles") across Casablanca.</w:t>
      </w:r>
    </w:p>
    <w:p>
      <w:pPr>
        <w:pStyle w:val="BodyText"/>
      </w:pPr>
      <w:r>
        <w:t xml:space="preserve">The economic argument further strengthens this case: Every $1 invested in cataract surgery generates $5 in productivity gains through restored labor capacity, a critical consideration for Morocco's developing economy. In Casablanca alone, untreated blindness costs an estimated 380 million MAD annually in lost wages and social support services according to the Moroccan Economic Observatory.</w:t>
      </w:r>
    </w:p>
    <w:bookmarkEnd w:id="23"/>
    <w:bookmarkStart w:id="24" w:name="Xa11f0a4cc81b602f7ab509552d6d3a3cd66c467"/>
    <w:p>
      <w:pPr>
        <w:pStyle w:val="Heading2"/>
      </w:pPr>
      <w:r>
        <w:t xml:space="preserve">Conclusion: A Call for Integrated Vision Care Leadership</w:t>
      </w:r>
    </w:p>
    <w:p>
      <w:pPr>
        <w:pStyle w:val="FirstParagraph"/>
      </w:pPr>
      <w:r>
        <w:t xml:space="preserve">This dissertation affirms that ophthalmologists in Morocco Casablanca occupy a pivotal position at the intersection of public health, economic development, and social equity. Their role transcends clinical practice to encompass healthcare system innovation, policy advocacy, and community engagement. As Morocco continues its healthcare modernization journey under Vision 2035, the strategic deployment of ophthalmologists in Casablanca – supported by targeted infrastructure investment and cross-sector collaboration – represents the most viable pathway to achieving universal eye care coverage.</w:t>
      </w:r>
    </w:p>
    <w:p>
      <w:pPr>
        <w:pStyle w:val="BodyText"/>
      </w:pPr>
      <w:r>
        <w:t xml:space="preserve">The city's future health security depends on transforming ophthalmology from a reactive specialty into a proactive public health pillar. By leveraging Casablanca's unique urban advantages, implementing evidence-based interventions, and empowering local ophthalmologists as healthcare leaders, Morocco can set an emerging market benchmark for vision care accessibility. This dissertation concludes that sustained investment in Casablanca's ophthalmic workforce is not merely a medical necessity but a fundamental economic and humanitarian imperative for the nation's prosperity.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Morocco Casablanca</dc:title>
  <dc:creator/>
  <dc:language>en</dc:language>
  <cp:keywords/>
  <dcterms:created xsi:type="dcterms:W3CDTF">2025-12-11T16:23:55Z</dcterms:created>
  <dcterms:modified xsi:type="dcterms:W3CDTF">2025-12-11T16:23:55Z</dcterms:modified>
</cp:coreProperties>
</file>

<file path=docProps/custom.xml><?xml version="1.0" encoding="utf-8"?>
<Properties xmlns="http://schemas.openxmlformats.org/officeDocument/2006/custom-properties" xmlns:vt="http://schemas.openxmlformats.org/officeDocument/2006/docPropsVTypes"/>
</file>