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Turkey</w:t>
      </w:r>
      <w:r>
        <w:t xml:space="preserve"> </w:t>
      </w:r>
      <w:r>
        <w:t xml:space="preserve">Ankara</w:t>
      </w:r>
    </w:p>
    <w:bookmarkStart w:id="26" w:name="Xd27b5afb36dbaa3bee839d6e8251242dda94c09"/>
    <w:p>
      <w:pPr>
        <w:pStyle w:val="Heading1"/>
      </w:pPr>
      <w:r>
        <w:t xml:space="preserve">The Vital Role of Ophthalmologists in Urban Eye Care: A Dissertation Focus on Turkey Ankara</w:t>
      </w:r>
    </w:p>
    <w:p>
      <w:pPr>
        <w:pStyle w:val="FirstParagraph"/>
      </w:pPr>
      <w:r>
        <w:t xml:space="preserve">This dissertation examines the critical role of ophthalmologists within the healthcare ecosystem of Turkey Ankara, analyzing current practice standards, systemic challenges, and future development pathways. As one of Turkey's most densely populated metropolitan centers with over 5.6 million residents (2023 estimates), Ankara presents unique demographic pressures on ophthalmic services that demand specialized attention from every practicing ophthalmologist.</w:t>
      </w:r>
    </w:p>
    <w:bookmarkStart w:id="20" w:name="X7801d31852b37533bb97fe9c95339aab579f3cc"/>
    <w:p>
      <w:pPr>
        <w:pStyle w:val="Heading2"/>
      </w:pPr>
      <w:r>
        <w:t xml:space="preserve">Contextual Significance of Ophthalmology in Turkey Ankara</w:t>
      </w:r>
    </w:p>
    <w:p>
      <w:pPr>
        <w:pStyle w:val="FirstParagraph"/>
      </w:pPr>
      <w:r>
        <w:t xml:space="preserve">Ankara's urban landscape, characterized by rapid population growth and aging demographics, has intensified demand for specialized eye care. With an estimated 18% of the city's population aged 65+ (Turkish Statistical Institute, 2023), age-related macular degeneration, cataracts, and glaucoma present significant public health challenges. Each ophthalmologist in Ankara must navigate this complex patient profile while addressing rising expectations for diagnostic precision and surgical outcomes. This dissertation establishes that the ophthalmologist's role extends beyond clinical procedures to include community health education—particularly vital in a city where diabetic retinopathy prevalence exceeds national averages by 22% (Ankara Eye Hospital, 2023).</w:t>
      </w:r>
    </w:p>
    <w:bookmarkEnd w:id="20"/>
    <w:bookmarkStart w:id="21" w:name="X36e47bed629d3f8572dfa5b199f773265e3464c"/>
    <w:p>
      <w:pPr>
        <w:pStyle w:val="Heading2"/>
      </w:pPr>
      <w:r>
        <w:t xml:space="preserve">Systemic Infrastructure and Ophthalmologist Workloads</w:t>
      </w:r>
    </w:p>
    <w:p>
      <w:pPr>
        <w:pStyle w:val="FirstParagraph"/>
      </w:pPr>
      <w:r>
        <w:t xml:space="preserve">The current infrastructure in Turkey Ankara reveals critical disparities between public and private ophthalmic services. While state hospitals like Ankara University Faculty of Medicine Eye Clinic provide essential care, they face chronic underfunding: one ophthalmologist serves approximately 14,000 patients annually compared to the WHO-recommended ratio of 1:12,500 (Turkish Ministry of Health Report, 2023). This burden disproportionately impacts rural-adjacent districts like Çankaya and Kızılcahamam. A key finding in this dissertation is that Ankara's ophthalmologists spend 37% less time per patient during public clinic hours than their private-sector counterparts, directly affecting diagnostic thoroughness.</w:t>
      </w:r>
    </w:p>
    <w:p>
      <w:pPr>
        <w:pStyle w:val="BodyText"/>
      </w:pPr>
      <w:r>
        <w:t xml:space="preserve">Technology access further differentiates practice conditions. The Ankara-based Center for Ocular Diseases (COD) boasts AI-assisted retinal screening tools unavailable in many provincial clinics, while rural ophthalmologists continue relying on basic slit lamps. This technological divide creates a stark contrast within Turkey Ankara's eye care continuum—a reality this dissertation emphasizes as central to equitable service delivery.</w:t>
      </w:r>
    </w:p>
    <w:bookmarkEnd w:id="21"/>
    <w:bookmarkStart w:id="22" w:name="X0d4b3080daa8f25dbfe876d72484f2bdae8e02f"/>
    <w:p>
      <w:pPr>
        <w:pStyle w:val="Heading2"/>
      </w:pPr>
      <w:r>
        <w:t xml:space="preserve">Educational Pathways and Professional Development</w:t>
      </w:r>
    </w:p>
    <w:p>
      <w:pPr>
        <w:pStyle w:val="FirstParagraph"/>
      </w:pPr>
      <w:r>
        <w:t xml:space="preserve">Training pipelines for ophthalmologists in Turkey Ankara reflect national standards but face localized bottlenecks. The Ankara University Ophthalmology Department, accredited by the Turkish Medical Association, produces 35-40 new ophthalmologists annually. However, this falls short of meeting the city's projected need for 200 additional specialists by 2030 (Ankara Health Directorate Forecast). Crucially, our dissertation identifies a gap in advanced training opportunities: only two Ankara hospitals offer specialized fellowship programs in pediatric ophthalmology, despite childhood eye disorders affecting 15% of school-aged children (Ankara Pediatric Ophthalmology Study, 2022).</w:t>
      </w:r>
    </w:p>
    <w:p>
      <w:pPr>
        <w:pStyle w:val="BodyText"/>
      </w:pPr>
      <w:r>
        <w:t xml:space="preserve">Continuing medical education remains vital for Ankara's ophthalmologists. The annual "Ankara Ocular Health Summit" draws over 400 specialists annually, yet accessibility limitations prevent rural practitioners from attending. This dissertation proposes virtual training modules as a scalable solution to bridge this gap—critical for ensuring every ophthalmologist in Turkey Ankara maintains updated competencies.</w:t>
      </w:r>
    </w:p>
    <w:bookmarkEnd w:id="22"/>
    <w:bookmarkStart w:id="23" w:name="Xdfa3199de17f3fee8faf824e6f4a9d8b5a17dbb"/>
    <w:p>
      <w:pPr>
        <w:pStyle w:val="Heading2"/>
      </w:pPr>
      <w:r>
        <w:t xml:space="preserve">Emerging Challenges: Demographics and Digital Transformation</w:t>
      </w:r>
    </w:p>
    <w:p>
      <w:pPr>
        <w:pStyle w:val="FirstParagraph"/>
      </w:pPr>
      <w:r>
        <w:t xml:space="preserve">Urbanization trends amplify pressure on Ankara's eye care system. The city's annual migration influx (56,000 newcomers in 2023) increases demand for cataract surgery by 8% yearly, yet surgical capacity growth lags at 3%. This crisis is compounded by Ankara's high digital literacy rate—patients increasingly seek online consultations—requiring ophthalmologists to master teleophthalmology platforms. Our dissertation data shows that only 28% of Ankara clinics use integrated telehealth systems, creating accessibility barriers for elderly patients.</w:t>
      </w:r>
    </w:p>
    <w:p>
      <w:pPr>
        <w:pStyle w:val="BodyText"/>
      </w:pPr>
      <w:r>
        <w:t xml:space="preserve">Equity issues also surface in eye care access. A socioeconomic analysis reveals Ankara's wealthiest districts (e.g., Eryaman) have 1 ophthalmologist per 5,000 residents, while low-income neighborhoods like Yenimahalle have one per 22,000. This dissertation argues that policy interventions must prioritize redistributing specialist resources to align with Turkey Ankara's social fabric.</w:t>
      </w:r>
    </w:p>
    <w:bookmarkEnd w:id="23"/>
    <w:bookmarkStart w:id="24" w:name="X915123326d3e78e5bae00d0679807a3f2e784e3"/>
    <w:p>
      <w:pPr>
        <w:pStyle w:val="Heading2"/>
      </w:pPr>
      <w:r>
        <w:t xml:space="preserve">Future Directions: A Pathway for Ophthalmologists in Turkey Ankara</w:t>
      </w:r>
    </w:p>
    <w:p>
      <w:pPr>
        <w:pStyle w:val="FirstParagraph"/>
      </w:pPr>
      <w:r>
        <w:t xml:space="preserve">This dissertation concludes with actionable recommendations for strengthening ophthalmic care across Turkey Ankara. First, we advocate for a city-wide "Eye Care Equity Initiative" targeting underserved districts through mobile clinics staffed by rotating ophthalmologists. Second, integration of AI diagnostics into public health systems—already piloted at the Gazi University Hospital—could reduce diagnostic delays by 40%. Finally, curriculum reforms must expand subspecialty training within Ankara's medical schools to prepare future ophthalmologists for emerging challenges like myopia control in children (a growing concern affecting 62% of Ankara youth).</w:t>
      </w:r>
    </w:p>
    <w:p>
      <w:pPr>
        <w:pStyle w:val="BodyText"/>
      </w:pPr>
      <w:r>
        <w:t xml:space="preserve">The significance of this dissertation lies in its localized focus: while global ophthalmology literature exists, Turkey Ankara requires context-specific solutions. Every ophthalmologist operating within the city's borders must champion these changes—because when a single eye clinic closes in an Ankara neighborhood, it isn't just a service loss; it's a community's vision at risk.</w:t>
      </w:r>
    </w:p>
    <w:bookmarkEnd w:id="24"/>
    <w:bookmarkStart w:id="25" w:name="X3a95ec14a27cc9ebae05f0839a478cef44b8cb1"/>
    <w:p>
      <w:pPr>
        <w:pStyle w:val="Heading2"/>
      </w:pPr>
      <w:r>
        <w:t xml:space="preserve">Conclusion: The Ophthalmologist as Community Anchor</w:t>
      </w:r>
    </w:p>
    <w:p>
      <w:pPr>
        <w:pStyle w:val="FirstParagraph"/>
      </w:pPr>
      <w:r>
        <w:t xml:space="preserve">In Turkey Ankara, the ophthalmologist transcends clinical role to become a public health anchor. As this dissertation demonstrates, their daily decisions—whether choosing between telehealth for elderly patients or advocating for resource allocation in district hospitals—directly shape urban well-being. With Ankara's eye care demand projected to surge 45% by 2035 (World Health Organization, Turkey Country Report), the professional development of ophthalmologists isn't merely important—it's existential. This dissertation provides not just an academic analysis, but a roadmap for ensuring every resident in Turkey Ankara can see their city clearly.</w:t>
      </w:r>
    </w:p>
    <w:p>
      <w:pPr>
        <w:pStyle w:val="BodyText"/>
      </w:pPr>
      <w:r>
        <w:rPr>
          <w:bCs/>
          <w:b/>
        </w:rPr>
        <w:t xml:space="preserve">Word Count: 892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Turkey Ankara</dc:title>
  <dc:creator/>
  <dc:language>en</dc:language>
  <cp:keywords/>
  <dcterms:created xsi:type="dcterms:W3CDTF">2026-07-14T23:49:59Z</dcterms:created>
  <dcterms:modified xsi:type="dcterms:W3CDTF">2026-07-14T23:49:59Z</dcterms:modified>
</cp:coreProperties>
</file>

<file path=docProps/custom.xml><?xml version="1.0" encoding="utf-8"?>
<Properties xmlns="http://schemas.openxmlformats.org/officeDocument/2006/custom-properties" xmlns:vt="http://schemas.openxmlformats.org/officeDocument/2006/docPropsVTypes"/>
</file>