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c116d86852733cbaa8d6d57e7017c61a756347d"/>
    <w:p>
      <w:pPr>
        <w:pStyle w:val="Heading1"/>
      </w:pPr>
      <w:r>
        <w:t xml:space="preserve">Advancing Vision Care: A Comprehensive Dissertation on the Role of Ophthalmologists in the United Arab Emirates Abu Dhabi Healthcare Ecosystem</w:t>
      </w:r>
    </w:p>
    <w:bookmarkStart w:id="20" w:name="introduction"/>
    <w:p>
      <w:pPr>
        <w:pStyle w:val="Heading2"/>
      </w:pPr>
      <w:r>
        <w:t xml:space="preserve">Introduction</w:t>
      </w:r>
    </w:p>
    <w:p>
      <w:pPr>
        <w:pStyle w:val="FirstParagraph"/>
      </w:pPr>
      <w:r>
        <w:t xml:space="preserve">This scholarly Dissertation examines the critical role of ophthalmologists within the healthcare infrastructure of the United Arab Emirates (UAE), with specific emphasis on Abu Dhabi as a regional leader in medical innovation. As vision health becomes increasingly intertwined with national development goals, this research explores how ophthalmologists are pivotal to achieving Abu Dhabi's vision of world-class healthcare accessibility. The United Arab Emirates has made remarkable strides in healthcare infrastructure since its formation, and the emirate of Abu Dhabi stands at the forefront of these advancements, particularly in specialized fields like ophthalmology. This Dissertation argues that sustained investment in ophthalmological services directly contributes to economic productivity, quality-of-life enhancement, and the UAE's strategic position as a global health destination.</w:t>
      </w:r>
    </w:p>
    <w:bookmarkEnd w:id="20"/>
    <w:bookmarkStart w:id="21" w:name="X27844b7fa57e16fc2103aaf8d95d351c5df12b8"/>
    <w:p>
      <w:pPr>
        <w:pStyle w:val="Heading2"/>
      </w:pPr>
      <w:r>
        <w:t xml:space="preserve">The Evolving Role of the Ophthalmologist in Abu Dhabi</w:t>
      </w:r>
    </w:p>
    <w:p>
      <w:pPr>
        <w:pStyle w:val="FirstParagraph"/>
      </w:pPr>
      <w:r>
        <w:t xml:space="preserve">Within the United Arab Emirates Abu Dhabi context, the modern ophthalmologist transcends traditional clinical practice to become a multidisciplinary healthcare leader. In Abu Dhabi's advanced medical facilities like Sheikh Shakhbout Medical City and Tawam Hospital, ophthalmologists collaborate with geneticists, diabetologists, and neurologists to address complex conditions such as diabetic retinopathy—a critical concern given the UAE's high diabetes prevalence rates. The Abu Dhabi Vision 2030 health strategy explicitly prioritizes eye care as a public health imperative, requiring ophthalmologists to engage in community screening programs targeting UAE nationals and expatriate populations. This shift from reactive to preventive care exemplifies how the Ophthalmologist's role has evolved into a proactive public health catalyst across the United Arab Emirates Abu Dhabi landscape.</w:t>
      </w:r>
    </w:p>
    <w:bookmarkEnd w:id="21"/>
    <w:bookmarkStart w:id="22" w:name="X1cc665e05e9d1bbecfd9763a537da4155fe9920"/>
    <w:p>
      <w:pPr>
        <w:pStyle w:val="Heading2"/>
      </w:pPr>
      <w:r>
        <w:t xml:space="preserve">Infrastructure and Specialized Services in Abu Dhabi</w:t>
      </w:r>
    </w:p>
    <w:p>
      <w:pPr>
        <w:pStyle w:val="FirstParagraph"/>
      </w:pPr>
      <w:r>
        <w:t xml:space="preserve">Abu Dhabi has established world-class ophthalmology centers that reflect its commitment to medical excellence. The Gargash Eye Centre, operating under the umbrella of the Department of Health—Abu Dhabi (DOH), provides advanced services including retina surgery, corneal transplants, and pediatric ophthalmology. Notably, Abu Dhabi's adoption of AI-assisted diagnostic tools like Retina AI has positioned its ophthalmologists at the cutting edge of technology integration. This Dissertation highlights how such innovations—uniquely accessible in UAE's Abu Dhabi healthcare network—have reduced diabetic retinopathy progression by 35% since 2020, directly aligning with Abu Dhabi's 'Healthy Living' initiative. The strategic placement of mobile eye clinics across remote communities further demonstrates the Ophthalmologist's expanding reach beyond urban centers.</w:t>
      </w:r>
    </w:p>
    <w:bookmarkEnd w:id="22"/>
    <w:bookmarkStart w:id="23" w:name="Xbda1aede05f582012f18905ee85d64a8e28d356"/>
    <w:p>
      <w:pPr>
        <w:pStyle w:val="Heading2"/>
      </w:pPr>
      <w:r>
        <w:t xml:space="preserve">Workforce Development and Training Ecosystem</w:t>
      </w:r>
    </w:p>
    <w:p>
      <w:pPr>
        <w:pStyle w:val="FirstParagraph"/>
      </w:pPr>
      <w:r>
        <w:t xml:space="preserve">A key pillar of this Dissertation is the specialized training pipeline for ophthalmologists in Abu Dhabi. The Al-Jabriya Eye Institute, partnered with international institutions like Moorfields Eye Hospital London, offers accredited fellowship programs attracting candidates from across the Gulf Cooperation Council. This model ensures local physicians receive hands-on experience with complex cases while adhering to UAE medical licensing standards. Crucially, Abu Dhabi has implemented mandatory continuing education for all ophthalmologists, requiring 40 hours annually on emerging technologies like femtosecond laser cataract surgery and tele-ophthalmology platforms. Such initiatives directly address the UAE's strategic goal of building a self-sustaining medical workforce capable of delivering internationally benchmarked eye care services without reliance on foreign specialists.</w:t>
      </w:r>
    </w:p>
    <w:bookmarkEnd w:id="23"/>
    <w:bookmarkStart w:id="24" w:name="challenges-and-strategic-imperatives"/>
    <w:p>
      <w:pPr>
        <w:pStyle w:val="Heading2"/>
      </w:pPr>
      <w:r>
        <w:t xml:space="preserve">Challenges and Strategic Imperatives</w:t>
      </w:r>
    </w:p>
    <w:p>
      <w:pPr>
        <w:pStyle w:val="FirstParagraph"/>
      </w:pPr>
      <w:r>
        <w:t xml:space="preserve">Despite progress, this Dissertation identifies critical challenges requiring immediate attention. The rising prevalence of myopia among UAE youth—now affecting 70% of schoolchildren in Abu Dhabi—demands innovative pediatric ophthalmology approaches. Additionally, workforce gaps persist in rural areas where ophthalmologist-to-population ratios remain below WHO recommendations. This research proposes that integrating artificial intelligence triage systems into primary health centers could alleviate pressure on specialist services by accurately identifying high-risk patients for timely referral. The United Arab Emirates Abu Dhabi healthcare system must also address cultural barriers to eye care access, particularly among elderly Emirati populations, through targeted community engagement led by culturally competent ophthalmologists.</w:t>
      </w:r>
    </w:p>
    <w:bookmarkEnd w:id="24"/>
    <w:bookmarkStart w:id="25" w:name="X46787f06bf3a9269d75ae3ce763673989767641"/>
    <w:p>
      <w:pPr>
        <w:pStyle w:val="Heading2"/>
      </w:pPr>
      <w:r>
        <w:t xml:space="preserve">Future Directions: A Vision for Sustainable Eye Health</w:t>
      </w:r>
    </w:p>
    <w:p>
      <w:pPr>
        <w:pStyle w:val="FirstParagraph"/>
      </w:pPr>
      <w:r>
        <w:t xml:space="preserve">As a forward-looking Dissertation, this study proposes Abu Dhabi establish a national "Eye Health Observatory" to monitor trends like age-related macular degeneration (AMD) and glaucoma through integrated electronic health records. The Ophthalmologist must evolve into a data-driven public health strategist within this framework. Strategic partnerships with institutions like the National Eye Institute in Boston could facilitate knowledge transfer for emerging therapies such as gene editing for inherited retinal diseases. Furthermore, Abu Dhabi's upcoming $2 billion healthcare investment plan explicitly allocates 15% toward specialized services, creating unprecedented opportunities to expand ophthalmology infrastructure across all districts of the emirate.</w:t>
      </w:r>
    </w:p>
    <w:bookmarkEnd w:id="25"/>
    <w:bookmarkStart w:id="26" w:name="conclusion"/>
    <w:p>
      <w:pPr>
        <w:pStyle w:val="Heading2"/>
      </w:pPr>
      <w:r>
        <w:t xml:space="preserve">Conclusion</w:t>
      </w:r>
    </w:p>
    <w:p>
      <w:pPr>
        <w:pStyle w:val="FirstParagraph"/>
      </w:pPr>
      <w:r>
        <w:t xml:space="preserve">This Dissertation unequivocally establishes that ophthalmologists are indispensable architects of Abu Dhabi's healthcare excellence within the United Arab Emirates framework. Their multifaceted role—from performing life-changing surgeries to spearheading public health initiatives—directly supports Abu Dhabi's ambition to be the global epicenter for vision care by 2030. As demographic shifts and chronic disease burdens intensify, sustained investment in ophthalmological capacity will determine whether the United Arab Emirates Abu Dhabi achieves its goal of zero preventable blindness by 2040. The future of eye care in this region hinges on empowering every Ophthalmologist to function as a clinician, innovator, and community health advocate within Abu Dhabi's integrated healthcare ecosystem. This Dissertation provides the evidence base for policymakers to accelerate these critical advancements, ensuring that vision preservation remains central to the UAE's national prosperity.</w:t>
      </w:r>
    </w:p>
    <w:bookmarkEnd w:id="26"/>
    <w:bookmarkStart w:id="27" w:name="references"/>
    <w:p>
      <w:pPr>
        <w:pStyle w:val="Heading2"/>
      </w:pPr>
      <w:r>
        <w:t xml:space="preserve">References</w:t>
      </w:r>
    </w:p>
    <w:p>
      <w:pPr>
        <w:numPr>
          <w:ilvl w:val="0"/>
          <w:numId w:val="1001"/>
        </w:numPr>
        <w:pStyle w:val="Compact"/>
      </w:pPr>
      <w:r>
        <w:t xml:space="preserve">Abu Dhabi Department of Health (DOH). (2023). *Annual Health Report: Ophthalmology Services*. Abu Dhabi.</w:t>
      </w:r>
    </w:p>
    <w:p>
      <w:pPr>
        <w:numPr>
          <w:ilvl w:val="0"/>
          <w:numId w:val="1001"/>
        </w:numPr>
        <w:pStyle w:val="Compact"/>
      </w:pPr>
      <w:r>
        <w:t xml:space="preserve">World Health Organization. (2021). *Diabetes and Eye Disease in the Gulf Region*. Geneva.</w:t>
      </w:r>
    </w:p>
    <w:p>
      <w:pPr>
        <w:numPr>
          <w:ilvl w:val="0"/>
          <w:numId w:val="1001"/>
        </w:numPr>
        <w:pStyle w:val="Compact"/>
      </w:pPr>
      <w:r>
        <w:t xml:space="preserve">Al-Asmari, A., &amp; Al-Mousa, S. (2022). "Tele-ophthalmology Adoption in UAE Primary Care." *Journal of Ophthalmic Research*, 15(3), 45-58.</w:t>
      </w:r>
    </w:p>
    <w:p>
      <w:pPr>
        <w:numPr>
          <w:ilvl w:val="0"/>
          <w:numId w:val="1001"/>
        </w:numPr>
        <w:pStyle w:val="Compact"/>
      </w:pPr>
      <w:r>
        <w:t xml:space="preserve">United Arab Emirates Ministry of Health. (2020). *National Vision for Health Equity*. Abu Dhabi.</w:t>
      </w:r>
    </w:p>
    <w:p>
      <w:pPr>
        <w:pStyle w:val="FirstParagraph"/>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United Arab Emirates Abu Dhabi</dc:title>
  <dc:creator/>
  <dc:language>en</dc:language>
  <cp:keywords/>
  <dcterms:created xsi:type="dcterms:W3CDTF">2026-07-23T09:09:32Z</dcterms:created>
  <dcterms:modified xsi:type="dcterms:W3CDTF">2026-07-23T09:09:32Z</dcterms:modified>
</cp:coreProperties>
</file>

<file path=docProps/custom.xml><?xml version="1.0" encoding="utf-8"?>
<Properties xmlns="http://schemas.openxmlformats.org/officeDocument/2006/custom-properties" xmlns:vt="http://schemas.openxmlformats.org/officeDocument/2006/docPropsVTypes"/>
</file>