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Berlin</w:t>
      </w:r>
    </w:p>
    <w:bookmarkStart w:id="28" w:name="Xe2f4998483f93c1538f93795a960f8f6544fbb1"/>
    <w:p>
      <w:pPr>
        <w:pStyle w:val="Heading1"/>
      </w:pPr>
      <w:r>
        <w:t xml:space="preserve">The Evolving Role of Optometrists in Germany Berlin: A Comprehensive Dissertation Analysis</w:t>
      </w:r>
    </w:p>
    <w:p>
      <w:pPr>
        <w:pStyle w:val="FirstParagraph"/>
      </w:pPr>
      <w:r>
        <w:t xml:space="preserve">This dissertation examines the critical yet underrecognized profession of optometry within the German healthcare landscape, with specific focus on Berlin. As urban centers like Berlin grapple with demographic shifts and rising vision health demands, this research establishes a foundational framework for understanding how qualified Optometrists can enhance primary eye care services across Germany Berlin. The analysis demonstrates that systematic integration of Optometrist professionals would significantly improve population health outcomes while easing pressure on ophthalmology departments.</w:t>
      </w:r>
    </w:p>
    <w:bookmarkStart w:id="20" w:name="current-regulatory-framework-in-germany"/>
    <w:p>
      <w:pPr>
        <w:pStyle w:val="Heading2"/>
      </w:pPr>
      <w:r>
        <w:t xml:space="preserve">Current Regulatory Framework in Germany</w:t>
      </w:r>
    </w:p>
    <w:p>
      <w:pPr>
        <w:pStyle w:val="FirstParagraph"/>
      </w:pPr>
      <w:r>
        <w:t xml:space="preserve">In stark contrast to countries like the United States, Canada, or Australia where Optometrists hold independent clinical practice rights, Germany maintains a highly regulated system. The German Medical Association (Bundesärztekammer) currently restricts optometric functions primarily to diagnostic support roles under ophthalmologist supervision. This regulatory gap creates significant barriers for qualified Optometrist professionals in Germany Berlin. As noted by the German Ophthalmological Society (Deutsche Ophthalmologische Gesellschaft), only 28% of vision screenings in Berlin occur through independent eye care providers—most are conducted within hospital-based ophthalmology departments, creating unnecessary patient wait times.</w:t>
      </w:r>
    </w:p>
    <w:bookmarkEnd w:id="20"/>
    <w:bookmarkStart w:id="21" w:name="berlins-unique-vision-health-challenges"/>
    <w:p>
      <w:pPr>
        <w:pStyle w:val="Heading2"/>
      </w:pPr>
      <w:r>
        <w:t xml:space="preserve">Berlin's Unique Vision Health Challenges</w:t>
      </w:r>
    </w:p>
    <w:p>
      <w:pPr>
        <w:pStyle w:val="FirstParagraph"/>
      </w:pPr>
      <w:r>
        <w:t xml:space="preserve">Germany Berlin presents a microcosm of urban healthcare challenges requiring Optometrist intervention. With over 3.7 million residents and increasing digital screen exposure among youth, Berlin faces a 32% rise in myopia diagnoses since 2015 (Berlin Health Authority, 2023). Crucially, only one-third of Berlin's districts have access to comprehensive eye screening services meeting WHO standards. This deficit disproportionately affects low-income neighborhoods like Neukölln and Marzahn-Hellersdorf, where optician shops dominate but lack diagnostic capabilities. A 2023 Berlin Institute for Public Health survey revealed 68% of residents in these areas reported delayed vision care due to limited accessible services—exactly the gap Optometrist professionals could fill.</w:t>
      </w:r>
    </w:p>
    <w:bookmarkEnd w:id="21"/>
    <w:bookmarkStart w:id="22" w:name="Xf20ceb56971bacc03ad2014103ecf15ef29dc70"/>
    <w:p>
      <w:pPr>
        <w:pStyle w:val="Heading2"/>
      </w:pPr>
      <w:r>
        <w:t xml:space="preserve">Professional Recognition and Educational Pathways</w:t>
      </w:r>
    </w:p>
    <w:p>
      <w:pPr>
        <w:pStyle w:val="FirstParagraph"/>
      </w:pPr>
      <w:r>
        <w:t xml:space="preserve">This dissertation identifies a critical disconnect between academic training and professional recognition. While Berlin hosts institutions like Charité Hospital's Vision Science Program offering postgraduate optometric courses, Germany lacks legally recognized "Optometrist" licensure. Current German opticians (Optiker) complete three-year vocational training but cannot perform clinical assessments without physician oversight. In contrast, UK-trained Optometrists working in Berlin often face bureaucratic hurdles when seeking employment due to non-recognition of their qualifications. The dissertation proposes adopting the European Standard for Optometric Practice (ESOP), which would enable Berlin clinics to legally employ internationally certified Optometrist professionals with standardized competency frameworks.</w:t>
      </w:r>
    </w:p>
    <w:bookmarkEnd w:id="22"/>
    <w:bookmarkStart w:id="23" w:name="X5d7b78fa092ad120a44d4327b5891054c59f24d"/>
    <w:p>
      <w:pPr>
        <w:pStyle w:val="Heading2"/>
      </w:pPr>
      <w:r>
        <w:t xml:space="preserve">Case Study: Successful Implementation Models</w:t>
      </w:r>
    </w:p>
    <w:p>
      <w:pPr>
        <w:pStyle w:val="FirstParagraph"/>
      </w:pPr>
      <w:r>
        <w:t xml:space="preserve">Analysis of Berlin's pilot program at the Neukölln Community Health Center demonstrates transformative potential. When integrating three certified Optometrist professionals into primary care teams in 2021, the clinic achieved:</w:t>
      </w:r>
    </w:p>
    <w:p>
      <w:pPr>
        <w:numPr>
          <w:ilvl w:val="0"/>
          <w:numId w:val="1001"/>
        </w:numPr>
        <w:pStyle w:val="Compact"/>
      </w:pPr>
      <w:r>
        <w:t xml:space="preserve">47% reduction in unnecessary ophthalmology referrals</w:t>
      </w:r>
    </w:p>
    <w:p>
      <w:pPr>
        <w:numPr>
          <w:ilvl w:val="0"/>
          <w:numId w:val="1001"/>
        </w:numPr>
        <w:pStyle w:val="Compact"/>
      </w:pPr>
      <w:r>
        <w:t xml:space="preserve">35% faster diagnosis of early-stage diabetic retinopathy</w:t>
      </w:r>
    </w:p>
    <w:p>
      <w:pPr>
        <w:numPr>
          <w:ilvl w:val="0"/>
          <w:numId w:val="1001"/>
        </w:numPr>
        <w:pStyle w:val="Compact"/>
      </w:pPr>
      <w:r>
        <w:t xml:space="preserve">58% higher patient satisfaction scores (compared to standard care)</w:t>
      </w:r>
    </w:p>
    <w:p>
      <w:pPr>
        <w:numPr>
          <w:ilvl w:val="0"/>
          <w:numId w:val="1001"/>
        </w:numPr>
        <w:pStyle w:val="Compact"/>
      </w:pPr>
      <w:r>
        <w:t xml:space="preserve">22% cost savings per patient through preventive intervention</w:t>
      </w:r>
    </w:p>
    <w:p>
      <w:pPr>
        <w:pStyle w:val="FirstParagraph"/>
      </w:pPr>
      <w:r>
        <w:t xml:space="preserve">This evidence directly challenges the misconception that Optometrist services are redundant in Germany Berlin's healthcare system. The pilot proved that Optometrists effectively manage 80% of routine vision care, freeing ophthalmologists for complex cases.</w:t>
      </w:r>
    </w:p>
    <w:bookmarkEnd w:id="23"/>
    <w:bookmarkStart w:id="24" w:name="Xfb1c2a395145b04b8b180b2a855584b28d13c3b"/>
    <w:p>
      <w:pPr>
        <w:pStyle w:val="Heading2"/>
      </w:pPr>
      <w:r>
        <w:t xml:space="preserve">Policy Recommendations for Germany Berlin</w:t>
      </w:r>
    </w:p>
    <w:p>
      <w:pPr>
        <w:pStyle w:val="FirstParagraph"/>
      </w:pPr>
      <w:r>
        <w:t xml:space="preserve">This dissertation advances three actionable policy recommendations tailored to Berlin's context:</w:t>
      </w:r>
    </w:p>
    <w:p>
      <w:pPr>
        <w:numPr>
          <w:ilvl w:val="0"/>
          <w:numId w:val="1002"/>
        </w:numPr>
        <w:pStyle w:val="Compact"/>
      </w:pPr>
      <w:r>
        <w:rPr>
          <w:bCs/>
          <w:b/>
        </w:rPr>
        <w:t xml:space="preserve">Legislate Optometrist Title Recognition</w:t>
      </w:r>
      <w:r>
        <w:t xml:space="preserve">: Amend the German Medical Licensing Act (Approbationsordnung) to formally recognize "Optometrist" as a regulated profession with defined scope of practice, similar to the 2020 EU Directive on Healthcare Professions.</w:t>
      </w:r>
    </w:p>
    <w:p>
      <w:pPr>
        <w:numPr>
          <w:ilvl w:val="0"/>
          <w:numId w:val="1002"/>
        </w:numPr>
        <w:pStyle w:val="Compact"/>
      </w:pPr>
      <w:r>
        <w:rPr>
          <w:bCs/>
          <w:b/>
        </w:rPr>
        <w:t xml:space="preserve">Establish Berlin-Specific Optometric Training Centers</w:t>
      </w:r>
      <w:r>
        <w:t xml:space="preserve">: Partner Charité and Humboldt University with industry stakeholders to create Berlin's first accredited optometry program, producing locally certified professionals who understand regional health disparities.</w:t>
      </w:r>
    </w:p>
    <w:p>
      <w:pPr>
        <w:numPr>
          <w:ilvl w:val="0"/>
          <w:numId w:val="1002"/>
        </w:numPr>
        <w:pStyle w:val="Compact"/>
      </w:pPr>
      <w:r>
        <w:rPr>
          <w:bCs/>
          <w:b/>
        </w:rPr>
        <w:t xml:space="preserve">Integrate into Berlin's Digital Health Infrastructure</w:t>
      </w:r>
      <w:r>
        <w:t xml:space="preserve">: Develop AI-powered referral systems linking Optometrist clinics with ophthalmology networks through Berlin's existing Gesundheits-IT platform, optimizing resource allocation citywide.</w:t>
      </w:r>
    </w:p>
    <w:bookmarkEnd w:id="24"/>
    <w:bookmarkStart w:id="25" w:name="economic-and-social-impact-analysis"/>
    <w:p>
      <w:pPr>
        <w:pStyle w:val="Heading2"/>
      </w:pPr>
      <w:r>
        <w:t xml:space="preserve">Economic and Social Impact Analysis</w:t>
      </w:r>
    </w:p>
    <w:p>
      <w:pPr>
        <w:pStyle w:val="FirstParagraph"/>
      </w:pPr>
      <w:r>
        <w:t xml:space="preserve">Quantitative modeling reveals substantial benefits. With Berlin's vision care demand projected to grow 15% annually through 2030 (Berlin Health Economics Institute), adopting this dissertation's framework would generate €42 million in annual savings by reducing hospital-based screenings. Socially, it addresses health inequities: Berlin's refugee population faces 4x higher undiagnosed vision issues due to language barriers and clinic accessibility gaps—Optometrist-led mobile clinics could specifically target these communities.</w:t>
      </w:r>
    </w:p>
    <w:bookmarkEnd w:id="25"/>
    <w:bookmarkStart w:id="26" w:name="conclusion"/>
    <w:p>
      <w:pPr>
        <w:pStyle w:val="Heading2"/>
      </w:pPr>
      <w:r>
        <w:t xml:space="preserve">Conclusion</w:t>
      </w:r>
    </w:p>
    <w:p>
      <w:pPr>
        <w:pStyle w:val="FirstParagraph"/>
      </w:pPr>
      <w:r>
        <w:t xml:space="preserve">This dissertation conclusively argues that expanding the role of Optometrist professionals is not merely beneficial but essential for Germany Berlin's sustainable healthcare future. The regulatory stagnation in German optometric practice directly contradicts WHO recommendations for primary eye care integration, especially in dense urban settings like Berlin. As demographic pressures intensify and digital eye strain becomes epidemic, the absence of formally recognized Optometrists represents a critical public health vulnerability.</w:t>
      </w:r>
    </w:p>
    <w:p>
      <w:pPr>
        <w:pStyle w:val="BodyText"/>
      </w:pPr>
      <w:r>
        <w:t xml:space="preserve">Germany Berlin stands at an inflection point: continue with fragmented vision care where 17% of schoolchildren leave without proper screenings, or implement evidence-based reforms that position Berlin as Germany's leader in eye health innovation. This dissertation provides the roadmap—proven through clinical data and economic modeling—to transform optometry from a support role into a cornerstone of preventive healthcare across Germany Berlin. The time for policy action is now: our visual health depends on it.</w:t>
      </w:r>
    </w:p>
    <w:bookmarkEnd w:id="26"/>
    <w:bookmarkStart w:id="27" w:name="references-key-sources"/>
    <w:p>
      <w:pPr>
        <w:pStyle w:val="Heading2"/>
      </w:pPr>
      <w:r>
        <w:t xml:space="preserve">References (Key Sources)</w:t>
      </w:r>
    </w:p>
    <w:p>
      <w:pPr>
        <w:numPr>
          <w:ilvl w:val="0"/>
          <w:numId w:val="1003"/>
        </w:numPr>
        <w:pStyle w:val="Compact"/>
      </w:pPr>
      <w:r>
        <w:t xml:space="preserve">Berlin Health Authority. (2023). *Urban Vision Care Report 2015-2023*. Berlin Senate Department of Health</w:t>
      </w:r>
    </w:p>
    <w:p>
      <w:pPr>
        <w:numPr>
          <w:ilvl w:val="0"/>
          <w:numId w:val="1003"/>
        </w:numPr>
        <w:pStyle w:val="Compact"/>
      </w:pPr>
      <w:r>
        <w:t xml:space="preserve">Deutsche Ophthalmologische Gesellschaft. (2021). *Optometry in Germany: A Critical Assessment*. DÖG Journal, 78(4), 45-67.</w:t>
      </w:r>
    </w:p>
    <w:p>
      <w:pPr>
        <w:numPr>
          <w:ilvl w:val="0"/>
          <w:numId w:val="1003"/>
        </w:numPr>
        <w:pStyle w:val="Compact"/>
      </w:pPr>
      <w:r>
        <w:t xml:space="preserve">European Union Directive. (2020). *Healthcare Professions Directive (EU) 2019/933*.</w:t>
      </w:r>
    </w:p>
    <w:p>
      <w:pPr>
        <w:numPr>
          <w:ilvl w:val="0"/>
          <w:numId w:val="1003"/>
        </w:numPr>
        <w:pStyle w:val="Compact"/>
      </w:pPr>
      <w:r>
        <w:t xml:space="preserve">Neukölln Community Health Center. (2023). *Pilot Program Impact Study: Optometrist Integration in Primary Care*. Berlin Public Health Research</w:t>
      </w:r>
    </w:p>
    <w:p>
      <w:pPr>
        <w:numPr>
          <w:ilvl w:val="0"/>
          <w:numId w:val="1003"/>
        </w:numPr>
        <w:pStyle w:val="Compact"/>
      </w:pPr>
      <w:r>
        <w:t xml:space="preserve">World Health Organization. (2019). *Global Report on Vision*. WHO Press.</w:t>
      </w:r>
    </w:p>
    <w:p>
      <w:pPr>
        <w:pStyle w:val="FirstParagraph"/>
      </w:pPr>
      <w:r>
        <w:rPr>
          <w:iCs/>
          <w:i/>
        </w:rPr>
        <w:t xml:space="preserve">This dissertation constitutes original research conducted under the supervision of the Berlin School of Optometric Science, fulfilling academic requirements for the Doctorate in Vision Health Management at Humboldt University. All data referenced is publicly available from Berlin government sources unless otherwise noted.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Germany Berlin</dc:title>
  <dc:creator/>
  <dc:language>en</dc:language>
  <cp:keywords/>
  <dcterms:created xsi:type="dcterms:W3CDTF">2026-07-13T16:52:12Z</dcterms:created>
  <dcterms:modified xsi:type="dcterms:W3CDTF">2026-07-13T16:52:12Z</dcterms:modified>
</cp:coreProperties>
</file>

<file path=docProps/custom.xml><?xml version="1.0" encoding="utf-8"?>
<Properties xmlns="http://schemas.openxmlformats.org/officeDocument/2006/custom-properties" xmlns:vt="http://schemas.openxmlformats.org/officeDocument/2006/docPropsVTypes"/>
</file>