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India</w:t>
      </w:r>
      <w:r>
        <w:t xml:space="preserve"> </w:t>
      </w:r>
      <w:r>
        <w:t xml:space="preserve">Mumbai</w:t>
      </w:r>
    </w:p>
    <w:bookmarkStart w:id="26" w:name="X87581b1598e0bd7551de2856aa6f302c48520a1"/>
    <w:p>
      <w:pPr>
        <w:pStyle w:val="Heading1"/>
      </w:pPr>
      <w:r>
        <w:t xml:space="preserve">The Critical Role of Optometrists in Vision Care: A Dissertation Focus on India Mumbai</w:t>
      </w:r>
    </w:p>
    <w:p>
      <w:pPr>
        <w:pStyle w:val="FirstParagraph"/>
      </w:pPr>
      <w:r>
        <w:t xml:space="preserve">This academic dissertation examines the indispensable profession of the Optometrist within the dynamic healthcare landscape of India Mumbai. As urbanization accelerates and eye health demands surge in one of Asia's most populous cities, understanding the multifaceted contributions of Optometrists becomes paramount for public health planning. This document synthesizes current challenges, professional evolution, and future pathways for optometric services specifically tailored to Mumbai's unique socio-medical context.</w:t>
      </w:r>
    </w:p>
    <w:bookmarkStart w:id="20" w:name="X0bb52f30c4268b2f0a5811c8972f9610b623e6d"/>
    <w:p>
      <w:pPr>
        <w:pStyle w:val="Heading2"/>
      </w:pPr>
      <w:r>
        <w:t xml:space="preserve">Optometrist: Beyond Basic Eye Exams in India Mumbai</w:t>
      </w:r>
    </w:p>
    <w:p>
      <w:pPr>
        <w:pStyle w:val="FirstParagraph"/>
      </w:pPr>
      <w:r>
        <w:t xml:space="preserve">In India Mumbai, an Optometrist is far more than a prescriber of corrective lenses. This licensed professional serves as the frontline guardian of community eye health, conducting comprehensive visual assessments, diagnosing ocular conditions like glaucoma and diabetic retinopathy in early stages, and managing low-vision rehabilitation. The significance intensifies in Mumbai where environmental stressors – air pollution, digital screen overuse among office workers, and urban heat – exponentially increase vision-related morbidity. According to the All India Ophthalmological Society (2023), Mumbai alone reports 1.8 million new cases of refractive errors annually, a figure directly managed by trained Optometrists.</w:t>
      </w:r>
    </w:p>
    <w:bookmarkEnd w:id="20"/>
    <w:bookmarkStart w:id="21" w:name="Xeb1bee95e6ce24f6400fb91bdff9903736c8966"/>
    <w:p>
      <w:pPr>
        <w:pStyle w:val="Heading2"/>
      </w:pPr>
      <w:r>
        <w:t xml:space="preserve">Education and Regulation: Building Professional Standards</w:t>
      </w:r>
    </w:p>
    <w:p>
      <w:pPr>
        <w:pStyle w:val="FirstParagraph"/>
      </w:pPr>
      <w:r>
        <w:t xml:space="preserve">The pathway to becoming an Optometrist in India has undergone significant professionalization. Leading institutions like the Sankara Nethralaya School of Optometry (Mumbai) now offer 4-year Bachelor of Optometry (B.Optom) programs approved by the Central Board of Secondary Education. This structured education equips future practitioners with skills beyond traditional eye testing: advanced ocular imaging interpretation, pediatric vision development assessment, and collaborative care protocols with ophthalmologists. Crucially, the National Optical Council’s recent framework (2022) mandates continuing education for all Optometrists in India Mumbai to maintain licensure – ensuring clinical competency evolves alongside technological advances like portable retinal scanners now deployed in Mumbai's community health centers.</w:t>
      </w:r>
    </w:p>
    <w:bookmarkEnd w:id="21"/>
    <w:bookmarkStart w:id="22" w:name="X0e3cdb15f7515dfe75fea1be1703dcd0baa8054"/>
    <w:p>
      <w:pPr>
        <w:pStyle w:val="Heading2"/>
      </w:pPr>
      <w:r>
        <w:t xml:space="preserve">Challenges: Navigating the Mumbai Healthcare Ecosystem</w:t>
      </w:r>
    </w:p>
    <w:p>
      <w:pPr>
        <w:pStyle w:val="FirstParagraph"/>
      </w:pPr>
      <w:r>
        <w:t xml:space="preserve">Despite progress, Optometrists in India Mumbai confront systemic hurdles. The most acute is the persistent public misconception that optometry equates only to "eye glass prescription," marginalizing their clinical role. This leads to underutilization of Optometrist services in primary healthcare settings across Mumbai’s 24 municipal wards. Furthermore, regulatory fragmentation remains – while Maharashtra has progressive optometric laws, many private clinics operate without proper licensing oversight. A 2023 field study by the Vision Research Foundation revealed that only 38% of Mumbai's optical stores employ certified Optometrists, resulting in inadequate screening for high-risk conditions like childhood amblyopia among schoolchildren.</w:t>
      </w:r>
    </w:p>
    <w:bookmarkEnd w:id="22"/>
    <w:bookmarkStart w:id="23" w:name="X6a47562415e91ee55ce171f3a523cbbf67f4e82"/>
    <w:p>
      <w:pPr>
        <w:pStyle w:val="Heading2"/>
      </w:pPr>
      <w:r>
        <w:t xml:space="preserve">Opportunities: Integrating into Mumbai’s Health Infrastructure</w:t>
      </w:r>
    </w:p>
    <w:p>
      <w:pPr>
        <w:pStyle w:val="FirstParagraph"/>
      </w:pPr>
      <w:r>
        <w:t xml:space="preserve">Strategic integration presents transformative potential. The BMC’s "Vision 2030" initiative explicitly advocates embedding Optometrists within municipal health clinics, especially in underserved zones like Dharavi and Kurla. This model – piloted successfully at the Sion Municipal General Hospital – reduces ophthalmologist wait times by 45% through early intervention. Similarly, corporate partnerships with Mumbai-based tech giants (e.g., TCS Vision Care) are funding mobile optometry vans targeting office workers in business hubs like Lower Parel, addressing digital eye strain prevalence exceeding 60% among professionals.</w:t>
      </w:r>
    </w:p>
    <w:bookmarkEnd w:id="23"/>
    <w:bookmarkStart w:id="24" w:name="X8a160a30fa5d3bbeb6197ff06f7041bae160e6a"/>
    <w:p>
      <w:pPr>
        <w:pStyle w:val="Heading2"/>
      </w:pPr>
      <w:r>
        <w:t xml:space="preserve">The Future Pathway: A Dissertation Imperative</w:t>
      </w:r>
    </w:p>
    <w:p>
      <w:pPr>
        <w:pStyle w:val="FirstParagraph"/>
      </w:pPr>
      <w:r>
        <w:t xml:space="preserve">This dissertation argues for three actionable imperatives to elevate the Optometrist profession across India Mumbai:</w:t>
      </w:r>
    </w:p>
    <w:p>
      <w:pPr>
        <w:numPr>
          <w:ilvl w:val="0"/>
          <w:numId w:val="1001"/>
        </w:numPr>
        <w:pStyle w:val="Compact"/>
      </w:pPr>
      <w:r>
        <w:rPr>
          <w:bCs/>
          <w:b/>
        </w:rPr>
        <w:t xml:space="preserve">Policy Advocacy:</w:t>
      </w:r>
      <w:r>
        <w:t xml:space="preserve"> </w:t>
      </w:r>
      <w:r>
        <w:t xml:space="preserve">Unified national legislation recognizing Optometrists as primary eye care providers, enabling direct billing under schemes like Ayushman Bharat in Mumbai. This requires lobbying through state optometric associations to influence Maharashtra Health Department policies.</w:t>
      </w:r>
    </w:p>
    <w:p>
      <w:pPr>
        <w:numPr>
          <w:ilvl w:val="0"/>
          <w:numId w:val="1001"/>
        </w:numPr>
        <w:pStyle w:val="Compact"/>
      </w:pPr>
      <w:r>
        <w:rPr>
          <w:bCs/>
          <w:b/>
        </w:rPr>
        <w:t xml:space="preserve">Educational Expansion:</w:t>
      </w:r>
      <w:r>
        <w:t xml:space="preserve"> </w:t>
      </w:r>
      <w:r>
        <w:t xml:space="preserve">Establishing 3-5 new B.Optom colleges across Mumbai’s periphery (e.g., Navi Mumbai, Thane) to address the current deficit of 2,400 trained Optometrists in the city – a shortage projected to worsen by 2030.</w:t>
      </w:r>
    </w:p>
    <w:p>
      <w:pPr>
        <w:numPr>
          <w:ilvl w:val="0"/>
          <w:numId w:val="1001"/>
        </w:numPr>
        <w:pStyle w:val="Compact"/>
      </w:pPr>
      <w:r>
        <w:rPr>
          <w:bCs/>
          <w:b/>
        </w:rPr>
        <w:t xml:space="preserve">Public Awareness Campaigns:</w:t>
      </w:r>
      <w:r>
        <w:t xml:space="preserve"> </w:t>
      </w:r>
      <w:r>
        <w:t xml:space="preserve">Collaborative media drives with Mumbai-based influencers and civic bodies (e.g., Mumbai Municipal Corporation) to rebrand optometry as essential preventive healthcare, not merely "glasses shopping."</w:t>
      </w:r>
    </w:p>
    <w:bookmarkEnd w:id="24"/>
    <w:bookmarkStart w:id="25" w:name="Xeb44725b60754191460d4109498bd30c239c83b"/>
    <w:p>
      <w:pPr>
        <w:pStyle w:val="Heading2"/>
      </w:pPr>
      <w:r>
        <w:t xml:space="preserve">Conclusion: Visionary Healthcare for a City of 20 Million</w:t>
      </w:r>
    </w:p>
    <w:p>
      <w:pPr>
        <w:pStyle w:val="FirstParagraph"/>
      </w:pPr>
      <w:r>
        <w:t xml:space="preserve">The Optometrist in India Mumbai is no longer a peripheral figure but the cornerstone of sustainable eye care delivery. This dissertation underscores that empowering these professionals through education, regulation, and integration is not merely an occupational concern – it’s a public health necessity for a city where vision loss could cost $48 billion annually in lost productivity (World Bank, 2023). As Mumbai evolves into a global metropolis, its Optometrists must transition from technicians to clinical partners in the healthcare ecosystem. Their growth directly correlates with the city’s resilience; when Mumbai’s Optometrist network thrives, the entire urban population gains clearer sight toward a healthier future. This dissertation serves as both an analysis and a call to action: investing in optometry is investing in Mumbai's vision.</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Optometrists in India Mumbai</dc:title>
  <dc:creator/>
  <dc:language>en</dc:language>
  <cp:keywords/>
  <dcterms:created xsi:type="dcterms:W3CDTF">2026-05-03T06:23:13Z</dcterms:created>
  <dcterms:modified xsi:type="dcterms:W3CDTF">2026-05-03T06:23:13Z</dcterms:modified>
</cp:coreProperties>
</file>

<file path=docProps/custom.xml><?xml version="1.0" encoding="utf-8"?>
<Properties xmlns="http://schemas.openxmlformats.org/officeDocument/2006/custom-properties" xmlns:vt="http://schemas.openxmlformats.org/officeDocument/2006/docPropsVTypes"/>
</file>