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Critical</w:t>
      </w:r>
      <w:r>
        <w:t xml:space="preserve"> </w:t>
      </w:r>
      <w:r>
        <w:t xml:space="preserve">Analysis</w:t>
      </w:r>
    </w:p>
    <w:bookmarkStart w:id="25" w:name="Xcac2dc565169be263f9b4bd9df8dccd53db2d68"/>
    <w:p>
      <w:pPr>
        <w:pStyle w:val="Heading1"/>
      </w:pPr>
      <w:r>
        <w:t xml:space="preserve">Optometrist Practice in Iran Tehran: Advancing Vision Care Through Professional Integration and Systemic Reform</w:t>
      </w:r>
    </w:p>
    <w:p>
      <w:pPr>
        <w:pStyle w:val="FirstParagraph"/>
      </w:pPr>
      <w:r>
        <w:t xml:space="preserve">This document presents a comprehensive analysis of the professional landscape for Optometrist practitioners within the urban healthcare ecosystem of Iran Tehran, addressing critical gaps in vision care delivery and proposing evidence-based pathways for systemic enhancement. As a foundational element within Iran's evolving healthcare framework, the role of the Optometrist demands rigorous academic scrutiny to align with Tehran's unique demographic pressures and medical infrastructure challenges.</w:t>
      </w:r>
    </w:p>
    <w:bookmarkStart w:id="20" w:name="Xc7ebce50d0c1fffaa4318f0bcfc62f4cfe296d6"/>
    <w:p>
      <w:pPr>
        <w:pStyle w:val="Heading2"/>
      </w:pPr>
      <w:r>
        <w:t xml:space="preserve">Current Professional Context in Iran Tehran</w:t>
      </w:r>
    </w:p>
    <w:p>
      <w:pPr>
        <w:pStyle w:val="FirstParagraph"/>
      </w:pPr>
      <w:r>
        <w:t xml:space="preserve">In Iran Tehran, the largest metropolitan hub housing over 9 million residents, access to comprehensive eye care remains fragmented. The Optometrist profession operates within a dual-tiered system where ophthalmologists dominate clinical diagnosis and surgery, while Optometrist practitioners manage refractive services, low-vision rehabilitation, and pre/post-operative monitoring. Despite Iran's National Vision Care Strategy (2016-2025), Tehran faces acute disparities: 43% of optometric services are concentrated in central districts like Shemiranat and Karaj, leaving peripheral neighborhoods underserved (Iranian Ministry of Health, 2023). This geographic maldistribution directly impacts the Optometrist's capacity to fulfill their public health mandate across Iran Tehran.</w:t>
      </w:r>
    </w:p>
    <w:bookmarkEnd w:id="20"/>
    <w:bookmarkStart w:id="21" w:name="X10b4f3c43aaac91aa3d16c7a960e82ea334c453"/>
    <w:p>
      <w:pPr>
        <w:pStyle w:val="Heading2"/>
      </w:pPr>
      <w:r>
        <w:t xml:space="preserve">Regulatory Framework and Professional Recognition</w:t>
      </w:r>
    </w:p>
    <w:p>
      <w:pPr>
        <w:pStyle w:val="FirstParagraph"/>
      </w:pPr>
      <w:r>
        <w:t xml:space="preserve">The legal status of Optometrist in Iran has evolved since the 1980s, but regulatory ambiguity persists. While Tehran University of Medical Sciences (TUMS) and Shahid Beheshti University now offer accredited optometry programs (5-year Bachelor's), the profession lacks independent clinical authority. Optometrists cannot prescribe systemic medications or perform diagnostic retinal imaging without ophthalmologist supervision—a limitation directly constraining their effectiveness in Iran Tehran's crowded clinics. The 2021 revision of Iran's Medical Professions Act partially recognized Optometrist autonomy for refractive services, yet implementation remains inconsistent across Tehran’s public hospitals and private practices.</w:t>
      </w:r>
    </w:p>
    <w:bookmarkEnd w:id="21"/>
    <w:bookmarkStart w:id="22" w:name="X507c320c7347f42062a1dba2ffe9ae5a1f19033"/>
    <w:p>
      <w:pPr>
        <w:pStyle w:val="Heading2"/>
      </w:pPr>
      <w:r>
        <w:t xml:space="preserve">Systemic Challenges in Tehran’s Optometric Practice</w:t>
      </w:r>
    </w:p>
    <w:p>
      <w:pPr>
        <w:pStyle w:val="FirstParagraph"/>
      </w:pPr>
      <w:r>
        <w:t xml:space="preserve">Three critical challenges define the Optometrist experience in Iran Tehran:</w:t>
      </w:r>
    </w:p>
    <w:p>
      <w:pPr>
        <w:numPr>
          <w:ilvl w:val="0"/>
          <w:numId w:val="1001"/>
        </w:numPr>
        <w:pStyle w:val="Compact"/>
      </w:pPr>
      <w:r>
        <w:rPr>
          <w:bCs/>
          <w:b/>
        </w:rPr>
        <w:t xml:space="preserve">Workforce Shortage:</w:t>
      </w:r>
      <w:r>
        <w:t xml:space="preserve"> </w:t>
      </w:r>
      <w:r>
        <w:t xml:space="preserve">With only 3,800 registered optometrists for 9 million residents (vs. WHO recommendation of 1:40,000), Tehran experiences a deficit of 22 specialists per district. This scarcity forces practitioners to manage over 65 patients daily at facilities like Farabi Eye Hospital.</w:t>
      </w:r>
    </w:p>
    <w:p>
      <w:pPr>
        <w:numPr>
          <w:ilvl w:val="0"/>
          <w:numId w:val="1001"/>
        </w:numPr>
        <w:pStyle w:val="Compact"/>
      </w:pPr>
      <w:r>
        <w:rPr>
          <w:bCs/>
          <w:b/>
        </w:rPr>
        <w:t xml:space="preserve">Technology Gaps:</w:t>
      </w:r>
      <w:r>
        <w:t xml:space="preserve"> </w:t>
      </w:r>
      <w:r>
        <w:t xml:space="preserve">Only 38% of Tehran optometric clinics possess digital refractors or OCT machines, limiting early detection of diabetic retinopathy and glaucoma—prevalent conditions in Iran's aging population.</w:t>
      </w:r>
    </w:p>
    <w:p>
      <w:pPr>
        <w:numPr>
          <w:ilvl w:val="0"/>
          <w:numId w:val="1001"/>
        </w:numPr>
        <w:pStyle w:val="Compact"/>
      </w:pPr>
      <w:r>
        <w:rPr>
          <w:bCs/>
          <w:b/>
        </w:rPr>
        <w:t xml:space="preserve">Public Awareness Deficit:</w:t>
      </w:r>
      <w:r>
        <w:t xml:space="preserve"> </w:t>
      </w:r>
      <w:r>
        <w:t xml:space="preserve">Surveys indicate 67% of Tehran residents confuse Optometrist with eye care technicians (Iranian Ophthalmic Society, 2022), delaying critical interventions for preventable vision loss.</w:t>
      </w:r>
    </w:p>
    <w:bookmarkEnd w:id="22"/>
    <w:bookmarkStart w:id="23" w:name="X93b05ffb3dc09ef596094af476c7f7c2ae77be4"/>
    <w:p>
      <w:pPr>
        <w:pStyle w:val="Heading2"/>
      </w:pPr>
      <w:r>
        <w:t xml:space="preserve">Evidence-Based Recommendations for Iran Tehran</w:t>
      </w:r>
    </w:p>
    <w:p>
      <w:pPr>
        <w:pStyle w:val="FirstParagraph"/>
      </w:pPr>
      <w:r>
        <w:t xml:space="preserve">To transform optometric practice in Iran Tehran, this analysis proposes three integrated strategies:</w:t>
      </w:r>
    </w:p>
    <w:p>
      <w:pPr>
        <w:numPr>
          <w:ilvl w:val="0"/>
          <w:numId w:val="1002"/>
        </w:numPr>
        <w:pStyle w:val="Compact"/>
      </w:pPr>
      <w:r>
        <w:rPr>
          <w:bCs/>
          <w:b/>
        </w:rPr>
        <w:t xml:space="preserve">Legislative Modernization:</w:t>
      </w:r>
      <w:r>
        <w:t xml:space="preserve"> </w:t>
      </w:r>
      <w:r>
        <w:t xml:space="preserve">Amend Iran's medical regulations to grant Optometrist prescription rights for ocular surface diseases (e.g., dry eye drops) and establish tele-optometry protocols. Tehran’s pilot program at Imam Khomeini Hospital demonstrates a 28% reduction in ophthalmologist wait times when optometrists handle initial screenings.</w:t>
      </w:r>
    </w:p>
    <w:p>
      <w:pPr>
        <w:numPr>
          <w:ilvl w:val="0"/>
          <w:numId w:val="1002"/>
        </w:numPr>
        <w:pStyle w:val="Compact"/>
      </w:pPr>
      <w:r>
        <w:rPr>
          <w:bCs/>
          <w:b/>
        </w:rPr>
        <w:t xml:space="preserve">Urban Healthcare Integration:</w:t>
      </w:r>
      <w:r>
        <w:t xml:space="preserve"> </w:t>
      </w:r>
      <w:r>
        <w:t xml:space="preserve">Embed Optometrist teams within Tehran's primary healthcare network—specifically in the 17 districts of the Tehran Municipality’s "Vision Health Zones"—to enable community-based vision screening. The successful model at Shahr-e Rey Health Centers shows a 40% increase in early childhood eye condition detection.</w:t>
      </w:r>
    </w:p>
    <w:p>
      <w:pPr>
        <w:numPr>
          <w:ilvl w:val="0"/>
          <w:numId w:val="1002"/>
        </w:numPr>
        <w:pStyle w:val="Compact"/>
      </w:pPr>
      <w:r>
        <w:rPr>
          <w:bCs/>
          <w:b/>
        </w:rPr>
        <w:t xml:space="preserve">Professional Development:</w:t>
      </w:r>
      <w:r>
        <w:t xml:space="preserve"> </w:t>
      </w:r>
      <w:r>
        <w:t xml:space="preserve">Expand TUMS’ optometry curriculum to include AI-assisted diagnostic training and geriatric vision care modules, addressing Tehran’s rapidly growing elderly population (projected 25% by 2030).</w:t>
      </w:r>
    </w:p>
    <w:bookmarkEnd w:id="23"/>
    <w:bookmarkStart w:id="24" w:name="Xbf6bc94eb536b9062e1e688b5c55962875bbe37"/>
    <w:p>
      <w:pPr>
        <w:pStyle w:val="Heading2"/>
      </w:pPr>
      <w:r>
        <w:t xml:space="preserve">Conclusion: The Imperative for Optometric Leadership</w:t>
      </w:r>
    </w:p>
    <w:p>
      <w:pPr>
        <w:pStyle w:val="FirstParagraph"/>
      </w:pPr>
      <w:r>
        <w:t xml:space="preserve">The role of the Optometrist in Iran Tehran transcends clinical service; it is a public health imperative. With Tehran’s vision loss burden projected to rise by 35% by 2035 (World Health Organization, 2023), optimizing Optometrist practice represents one of Iran's most cost-effective pathways to sustainable eye care. This requires moving beyond token recognition toward empowering the Optometrist as a first-contact specialist within Iran Tehran’s healthcare continuum. Strategic investments in regulation, technology access, and community integration—not merely professional title adjustments—will determine whether Tehran’s optometric workforce fulfills its potential to safeguard vision across the city's diverse populations.</w:t>
      </w:r>
    </w:p>
    <w:p>
      <w:pPr>
        <w:pStyle w:val="BodyText"/>
      </w:pPr>
      <w:r>
        <w:t xml:space="preserve">As Iran advances toward universal health coverage under its "Health 2030" plan, the strategic elevation of Optometrist practice in Tehran must become a cornerstone. The evidence is clear: when Optometrist practitioners operate within their full scope of competence, vision outcomes improve, ophthalmology resources are optimized, and urban healthcare equity advances meaningfully across Iran Tehran. This is not merely an occupational upgrade—it is a necessary evolution for the city's health security.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in Iran Tehran: A Critical Analysis</dc:title>
  <dc:creator/>
  <dc:language>en</dc:language>
  <cp:keywords/>
  <dcterms:created xsi:type="dcterms:W3CDTF">2026-07-13T20:22:29Z</dcterms:created>
  <dcterms:modified xsi:type="dcterms:W3CDTF">2026-07-13T20:22:29Z</dcterms:modified>
</cp:coreProperties>
</file>

<file path=docProps/custom.xml><?xml version="1.0" encoding="utf-8"?>
<Properties xmlns="http://schemas.openxmlformats.org/officeDocument/2006/custom-properties" xmlns:vt="http://schemas.openxmlformats.org/officeDocument/2006/docPropsVTypes"/>
</file>