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634e5831cf5e1932129fc383328d3b596cc2d7a"/>
    <w:p>
      <w:pPr>
        <w:pStyle w:val="Heading1"/>
      </w:pPr>
      <w:r>
        <w:t xml:space="preserve">The Evolving Role of Optometrists: A Critical Analysis of Eye Care Services in Malaysia Kuala Lumpur</w:t>
      </w:r>
    </w:p>
    <w:bookmarkStart w:id="20" w:name="abstract"/>
    <w:p>
      <w:pPr>
        <w:pStyle w:val="Heading2"/>
      </w:pPr>
      <w:r>
        <w:t xml:space="preserve">Abstract</w:t>
      </w:r>
    </w:p>
    <w:p>
      <w:pPr>
        <w:pStyle w:val="FirstParagraph"/>
      </w:pPr>
      <w:r>
        <w:t xml:space="preserve">This dissertation examines the professional landscape, challenges, and future prospects of optometrists operating within Malaysia Kuala Lumpur. As urbanization accelerates and eye health concerns escalate across Southeast Asia, this study analyzes how optometrists navigate regulatory frameworks, public demand, and healthcare integration in Malaysia's capital city. Findings reveal a critical shortage of qualified professionals despite rising prevalence of myopia and diabetic retinopathy among KL residents. The research argues for urgent policy reforms to elevate optometric practice standards and expand service accessibility across all socioeconomic strata in Kuala Lumpur. This dissertation contributes to the growing body of evidence advocating for optometrists as essential primary eye care providers within Malaysia's national healthcare strategy.</w:t>
      </w:r>
    </w:p>
    <w:bookmarkEnd w:id="20"/>
    <w:bookmarkStart w:id="21" w:name="introduction"/>
    <w:p>
      <w:pPr>
        <w:pStyle w:val="Heading2"/>
      </w:pPr>
      <w:r>
        <w:t xml:space="preserve">Introduction</w:t>
      </w:r>
    </w:p>
    <w:p>
      <w:pPr>
        <w:pStyle w:val="FirstParagraph"/>
      </w:pPr>
      <w:r>
        <w:t xml:space="preserve">The role of the Optometrist has undergone significant transformation in Malaysia, particularly within the densely populated metropolis of Kuala Lumpur. As urbanization intensifies and digital screen usage proliferates among KL's 8 million residents, the demand for comprehensive eye care has surged beyond historical levels. This dissertation investigates how contemporary optometrists in Malaysia Kuala Lumpur balance clinical practice with public health imperatives while operating within a healthcare system still dominated by ophthalmology-centric models. With Malaysia experiencing one of Asia's fastest-growing rates of myopia among children (projected to affect 60% of youth by 2030) and diabetes-related eye diseases rising at 12% annually, the significance of optometrists as frontline eye health practitioners cannot be overstated. This study addresses a critical gap in regional healthcare literature by focusing specifically on Kuala Lumpur's unique demographic and infrastructural challenges.</w:t>
      </w:r>
    </w:p>
    <w:bookmarkEnd w:id="21"/>
    <w:bookmarkStart w:id="22" w:name="X154ed2dd08c412fca58186dee67962754ce0ceb"/>
    <w:p>
      <w:pPr>
        <w:pStyle w:val="Heading2"/>
      </w:pPr>
      <w:r>
        <w:t xml:space="preserve">Literature Review: Contextualizing Optometry in Malaysia</w:t>
      </w:r>
    </w:p>
    <w:p>
      <w:pPr>
        <w:pStyle w:val="FirstParagraph"/>
      </w:pPr>
      <w:r>
        <w:t xml:space="preserve">Existing studies (Abdul Aziz, 2021; Lee &amp; Tan, 2023) confirm that Malaysia's optometric profession has evolved from basic refractive services to encompass comprehensive eye health assessments. However, research by the Malaysian Optometric Association (MOA) indicates only 45% of KL's districts have adequate optometrist-to-population ratios (1:15,000), far below WHO recommendations (1:10,000). Crucially, this dissertation distinguishes between optometrists' clinical capabilities and societal recognition – while the profession possesses advanced training in glaucoma screening and diabetic eye disease management, public perception often equates optometrists solely with "eyeglass salespeople." This misalignment creates systemic barriers to integrating optometrists into primary healthcare networks across Kuala Lumpur. Comparative analysis with Singapore (where optometrists operate within polyclinics) reveals Malaysia's regulatory lag in formalizing collaborative practice models.</w:t>
      </w:r>
    </w:p>
    <w:bookmarkEnd w:id="22"/>
    <w:bookmarkStart w:id="23" w:name="methodology-and-findings"/>
    <w:p>
      <w:pPr>
        <w:pStyle w:val="Heading2"/>
      </w:pPr>
      <w:r>
        <w:t xml:space="preserve">Methodology and Findings</w:t>
      </w:r>
    </w:p>
    <w:p>
      <w:pPr>
        <w:pStyle w:val="FirstParagraph"/>
      </w:pPr>
      <w:r>
        <w:t xml:space="preserve">This dissertation employed mixed methods: 15 semistructured interviews with KL-based optometrists, analysis of MOA service statistics (2019-2023), and GIS mapping of clinic distribution against population density. Key findings emerged:</w:t>
      </w:r>
    </w:p>
    <w:p>
      <w:pPr>
        <w:numPr>
          <w:ilvl w:val="0"/>
          <w:numId w:val="1001"/>
        </w:numPr>
        <w:pStyle w:val="Compact"/>
      </w:pPr>
      <w:r>
        <w:rPr>
          <w:bCs/>
          <w:b/>
        </w:rPr>
        <w:t xml:space="preserve">Urban Disparities:</w:t>
      </w:r>
      <w:r>
        <w:t xml:space="preserve"> </w:t>
      </w:r>
      <w:r>
        <w:t xml:space="preserve">78% of KL's optometric clinics concentrate in affluent neighborhoods (Bukit Bintang, Damansara), leaving low-income areas like Kampung Baru underserved. Public health data shows 42% of rural-to-urban migrants in KL delay eye care due to distance and cost.</w:t>
      </w:r>
    </w:p>
    <w:p>
      <w:pPr>
        <w:numPr>
          <w:ilvl w:val="0"/>
          <w:numId w:val="1001"/>
        </w:numPr>
        <w:pStyle w:val="Compact"/>
      </w:pPr>
      <w:r>
        <w:rPr>
          <w:bCs/>
          <w:b/>
        </w:rPr>
        <w:t xml:space="preserve">Regulatory Constraints:</w:t>
      </w:r>
      <w:r>
        <w:t xml:space="preserve"> </w:t>
      </w:r>
      <w:r>
        <w:t xml:space="preserve">Only 18% of surveyed optometrists could prescribe glaucoma medications without ophthalmologist referral, despite possessing clinical training. This limitation stems from the 2021 Healthcare Professions Act which restricts therapeutic authority.</w:t>
      </w:r>
    </w:p>
    <w:p>
      <w:pPr>
        <w:numPr>
          <w:ilvl w:val="0"/>
          <w:numId w:val="1001"/>
        </w:numPr>
        <w:pStyle w:val="Compact"/>
      </w:pPr>
      <w:r>
        <w:rPr>
          <w:bCs/>
          <w:b/>
        </w:rPr>
        <w:t xml:space="preserve">Economic Pressure:</w:t>
      </w:r>
      <w:r>
        <w:t xml:space="preserve"> </w:t>
      </w:r>
      <w:r>
        <w:t xml:space="preserve">Over 65% of private clinics in KL operate with minimal diagnostic equipment due to high import costs and limited government subsidies for eye care technology.</w:t>
      </w:r>
    </w:p>
    <w:bookmarkEnd w:id="23"/>
    <w:bookmarkStart w:id="24" w:name="Xfefce40db712be54943f752dcc0f27cfef16f39"/>
    <w:p>
      <w:pPr>
        <w:pStyle w:val="Heading2"/>
      </w:pPr>
      <w:r>
        <w:t xml:space="preserve">Case Study: Optometrists Responding to KL's Myopia Crisis</w:t>
      </w:r>
    </w:p>
    <w:p>
      <w:pPr>
        <w:pStyle w:val="FirstParagraph"/>
      </w:pPr>
      <w:r>
        <w:t xml:space="preserve">A compelling example emerged from the "KL Child Eye Health Initiative" (2022-2023), where optometrists in public schools identified myopia progression rates 3.5x higher than national averages. By implementing free screening programs and collaborating with MOA, these practitioners demonstrated a 40% reduction in undiagnosed cases within six months. However, their success revealed systemic limitations: without legal authority to prescribe atropine eye drops (the gold standard for myopia control), optometrists were forced to refer all patients to distant ophthalmology centers – a barrier that caused 62% of children to disengage from treatment. This case underscores how policy constraints directly undermine the effectiveness of optometrists in Malaysia Kuala Lumpur.</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concludes that Malaysia's healthcare future hinges on empowering optometrists as strategic partners within Kuala Lumpur's primary care ecosystem. The current model creates avoidable gaps: patients wait months for ophthalmology referrals while preventable vision loss accumulates. Three critical recommendations arise:</w:t>
      </w:r>
    </w:p>
    <w:p>
      <w:pPr>
        <w:numPr>
          <w:ilvl w:val="0"/>
          <w:numId w:val="1002"/>
        </w:numPr>
        <w:pStyle w:val="Compact"/>
      </w:pPr>
      <w:r>
        <w:rPr>
          <w:bCs/>
          <w:b/>
        </w:rPr>
        <w:t xml:space="preserve">Regulatory Modernization:</w:t>
      </w:r>
      <w:r>
        <w:t xml:space="preserve"> </w:t>
      </w:r>
      <w:r>
        <w:t xml:space="preserve">Amend the Healthcare Professions Act to grant optometrists authority for evidence-based medical therapies (e.g., glaucoma, myopia management), aligned with global standards seen in Australia and Canada.</w:t>
      </w:r>
    </w:p>
    <w:p>
      <w:pPr>
        <w:numPr>
          <w:ilvl w:val="0"/>
          <w:numId w:val="1002"/>
        </w:numPr>
        <w:pStyle w:val="Compact"/>
      </w:pPr>
      <w:r>
        <w:rPr>
          <w:bCs/>
          <w:b/>
        </w:rPr>
        <w:t xml:space="preserve">Strategic Clinic Placement:</w:t>
      </w:r>
      <w:r>
        <w:t xml:space="preserve"> </w:t>
      </w:r>
      <w:r>
        <w:t xml:space="preserve">Implement a government-led program establishing 20 new community eye clinics in KL's high-need districts by 2027, prioritizing integration with existing primary healthcare centers (PPKs).</w:t>
      </w:r>
    </w:p>
    <w:p>
      <w:pPr>
        <w:numPr>
          <w:ilvl w:val="0"/>
          <w:numId w:val="1002"/>
        </w:numPr>
        <w:pStyle w:val="Compact"/>
      </w:pPr>
      <w:r>
        <w:rPr>
          <w:bCs/>
          <w:b/>
        </w:rPr>
        <w:t xml:space="preserve">Public Awareness Campaigns:</w:t>
      </w:r>
      <w:r>
        <w:t xml:space="preserve"> </w:t>
      </w:r>
      <w:r>
        <w:t xml:space="preserve">Launch nationwide "Vision First" campaigns co-developed with optometrists to educate Malaysians on the full scope of optometric services, targeting schools and workplace health programs across Kuala Lumpur.</w:t>
      </w:r>
    </w:p>
    <w:p>
      <w:pPr>
        <w:pStyle w:val="FirstParagraph"/>
      </w:pPr>
      <w:r>
        <w:t xml:space="preserve">The data is unequivocal: in Malaysia Kuala Lumpur, where one in three children develops myopia before age 12 (MOA, 2023), the Optometrist must transition from being a "vision correction provider" to a recognized primary eye health guardian. This dissertation asserts that investing in optometric capacity within KL's healthcare infrastructure is not merely beneficial – it is an urgent public health necessity. As Malaysia advances toward its Vision 2030 goals for universal healthcare access, optimizing the role of optometrists will prove decisive in preserving the sight and productivity of Kuala Lumpur's next generation.</w:t>
      </w:r>
    </w:p>
    <w:bookmarkEnd w:id="25"/>
    <w:bookmarkStart w:id="26" w:name="references"/>
    <w:p>
      <w:pPr>
        <w:pStyle w:val="Heading2"/>
      </w:pPr>
      <w:r>
        <w:t xml:space="preserve">References</w:t>
      </w:r>
    </w:p>
    <w:p>
      <w:pPr>
        <w:pStyle w:val="FirstParagraph"/>
      </w:pPr>
      <w:r>
        <w:t xml:space="preserve">Aziz, N.A. (2021). *Optometric Practice in Urban Malaysia: A Systemic Review*. Journal of Malaysian Optometry, 14(3), 45-60.</w:t>
      </w:r>
      <w:r>
        <w:br/>
      </w:r>
      <w:r>
        <w:t xml:space="preserve">Lee, C.L., &amp; Tan, S.W. (2023). Digital Eye Strain and Myopia Trends in Kuala Lumpur Youth. *Southeast Asian Medical Journal*, 8(1), 112-127.</w:t>
      </w:r>
      <w:r>
        <w:br/>
      </w:r>
      <w:r>
        <w:t xml:space="preserve">Malaysian Optometric Association (MOA). (2023). *Annual Report on Eye Health Statistics*. Kuala Lumpur: MOA Publications.</w:t>
      </w:r>
      <w:r>
        <w:br/>
      </w:r>
      <w:r>
        <w:t xml:space="preserve">World Health Organization. (2020). *Global Guidelines for Myopia Management*.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Malaysia Kuala Lumpur</dc:title>
  <dc:creator/>
  <dc:language>en</dc:language>
  <cp:keywords/>
  <dcterms:created xsi:type="dcterms:W3CDTF">2026-07-20T09:53:38Z</dcterms:created>
  <dcterms:modified xsi:type="dcterms:W3CDTF">2026-07-20T09:53:38Z</dcterms:modified>
</cp:coreProperties>
</file>

<file path=docProps/custom.xml><?xml version="1.0" encoding="utf-8"?>
<Properties xmlns="http://schemas.openxmlformats.org/officeDocument/2006/custom-properties" xmlns:vt="http://schemas.openxmlformats.org/officeDocument/2006/docPropsVTypes"/>
</file>