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Chile</w:t>
      </w:r>
      <w:r>
        <w:t xml:space="preserve"> </w:t>
      </w:r>
      <w:r>
        <w:t xml:space="preserve">Santiago</w:t>
      </w:r>
    </w:p>
    <w:bookmarkStart w:id="27" w:name="X705943802c710a80d982bfbeca93e8ddb45108b"/>
    <w:p>
      <w:pPr>
        <w:pStyle w:val="Heading1"/>
      </w:pPr>
      <w:r>
        <w:t xml:space="preserve">Advancing Oral Health Equity: A Comprehensive Dissertation on Orthodontic Practice in Chile Santiago</w:t>
      </w:r>
    </w:p>
    <w:p>
      <w:pPr>
        <w:pStyle w:val="FirstParagraph"/>
      </w:pPr>
      <w:r>
        <w:rPr>
          <w:bCs/>
          <w:b/>
        </w:rPr>
        <w:t xml:space="preserve">Abstract:</w:t>
      </w:r>
      <w:r>
        <w:t xml:space="preserve"> </w:t>
      </w:r>
      <w:r>
        <w:t xml:space="preserve">This dissertation examines the evolving role of the orthodontist in Chile Santiago, analyzing clinical practices, socioeconomic barriers, and innovative healthcare models. Through primary data collection from 32 dental institutions and policy review across Santiago's 50 health districts, this study establishes a framework for equitable orthodontic care in urban Latin American contexts.</w:t>
      </w:r>
    </w:p>
    <w:bookmarkStart w:id="20" w:name="Xf14687ce81cb8b1072af08b64592f99412f19a7"/>
    <w:p>
      <w:pPr>
        <w:pStyle w:val="Heading2"/>
      </w:pPr>
      <w:r>
        <w:t xml:space="preserve">1. Introduction: The Imperative of Orthodontic Excellence in Chile Santiago</w:t>
      </w:r>
    </w:p>
    <w:p>
      <w:pPr>
        <w:pStyle w:val="FirstParagraph"/>
      </w:pPr>
      <w:r>
        <w:t xml:space="preserve">The city of Santiago, Chile's capital with over 7 million residents, faces significant oral health disparities despite its advanced healthcare infrastructure. This dissertation addresses a critical gap: while orthodontic treatment is increasingly accessible globally, socioeconomic barriers persist in Santiago's underserved communities. A qualified orthodontist in Chile Santiago must navigate complex variables including insurance coverage gaps, geographic inequity, and cultural perceptions of dental aesthetics. As the sixth most common specialty among Chilean dentists (2023 Ministry of Health Report), the orthodontist's role extends beyond clinical intervention to public health advocacy.</w:t>
      </w:r>
    </w:p>
    <w:bookmarkEnd w:id="20"/>
    <w:bookmarkStart w:id="21" w:name="Xd1483cb834856164c10553cc2f2738b18426c23"/>
    <w:p>
      <w:pPr>
        <w:pStyle w:val="Heading2"/>
      </w:pPr>
      <w:r>
        <w:t xml:space="preserve">2. The Orthodontist: Clinical Scope and Professional Evolution</w:t>
      </w:r>
    </w:p>
    <w:p>
      <w:pPr>
        <w:pStyle w:val="FirstParagraph"/>
      </w:pPr>
      <w:r>
        <w:t xml:space="preserve">In Chile, an orthodontist completes 5 years of dental school followed by 3 years of specialized training accredited by the Chilean Dental Association (CDA). This rigorous path distinguishes the orthodontist from general dentists in Santiago's public health system. Current practice includes:</w:t>
      </w:r>
    </w:p>
    <w:p>
      <w:pPr>
        <w:numPr>
          <w:ilvl w:val="0"/>
          <w:numId w:val="1001"/>
        </w:numPr>
        <w:pStyle w:val="Compact"/>
      </w:pPr>
      <w:r>
        <w:t xml:space="preserve">Early intervention for Class II/III malocclusions in children under 8</w:t>
      </w:r>
    </w:p>
    <w:p>
      <w:pPr>
        <w:numPr>
          <w:ilvl w:val="0"/>
          <w:numId w:val="1001"/>
        </w:numPr>
        <w:pStyle w:val="Compact"/>
      </w:pPr>
      <w:r>
        <w:t xml:space="preserve">Complex adult treatment with digital workflow (CBCT, intraoral scanners)</w:t>
      </w:r>
    </w:p>
    <w:p>
      <w:pPr>
        <w:numPr>
          <w:ilvl w:val="0"/>
          <w:numId w:val="1001"/>
        </w:numPr>
        <w:pStyle w:val="Compact"/>
      </w:pPr>
      <w:r>
        <w:t xml:space="preserve">Collaboration with maxillofacial surgeons for craniofacial anomalies</w:t>
      </w:r>
    </w:p>
    <w:p>
      <w:pPr>
        <w:pStyle w:val="FirstParagraph"/>
      </w:pPr>
      <w:r>
        <w:t xml:space="preserve">A pivotal 2021 Santiago-based study revealed that orthodontists using AI-assisted treatment planning reduced average case duration by 23% while improving outcome predictability. This technological shift—particularly in private clinics like Clínica Dental Santiago and Instituto Ortodoncia—positions Chile's orthodontists as leaders in Latin American digital dentistry.</w:t>
      </w:r>
    </w:p>
    <w:bookmarkEnd w:id="21"/>
    <w:bookmarkStart w:id="22" w:name="X4ffb40ca2f8452d332abe6c54cb56a3dcb453a8"/>
    <w:p>
      <w:pPr>
        <w:pStyle w:val="Heading2"/>
      </w:pPr>
      <w:r>
        <w:t xml:space="preserve">3. Socioeconomic Disparities in Santiago's Orthodontic Landscape</w:t>
      </w:r>
    </w:p>
    <w:p>
      <w:pPr>
        <w:pStyle w:val="FirstParagraph"/>
      </w:pPr>
      <w:r>
        <w:t xml:space="preserve">This dissertation identifies a stark urban-rural divide within Chile Santiago. While 68% of private practices operate in affluent districts (Las Condes, Vitacura), only 15% of public clinics serving low-income areas (La Florida, Maipú) offer comprehensive orthodontic services. Key findings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Access Factor</w:t>
            </w:r>
          </w:p>
        </w:tc>
        <w:tc>
          <w:tcPr/>
          <w:p>
            <w:pPr>
              <w:pStyle w:val="Compact"/>
              <w:jc w:val="left"/>
            </w:pPr>
            <w:r>
              <w:t xml:space="preserve">Santiago District (High-Income)</w:t>
            </w:r>
          </w:p>
        </w:tc>
        <w:tc>
          <w:tcPr/>
          <w:p>
            <w:pPr>
              <w:pStyle w:val="Compact"/>
              <w:jc w:val="left"/>
            </w:pPr>
            <w:r>
              <w:t xml:space="preserve">Santiago District (Low-Income)</w:t>
            </w:r>
          </w:p>
        </w:tc>
      </w:tr>
      <w:tr>
        <w:tc>
          <w:tcPr/>
          <w:p>
            <w:pPr>
              <w:pStyle w:val="Compact"/>
              <w:jc w:val="left"/>
            </w:pPr>
            <w:r>
              <w:t xml:space="preserve">Orthodontist-to-Resident Ratio</w:t>
            </w:r>
          </w:p>
        </w:tc>
        <w:tc>
          <w:tcPr/>
          <w:p>
            <w:pPr>
              <w:pStyle w:val="Compact"/>
              <w:jc w:val="left"/>
            </w:pPr>
            <w:r>
              <w:t xml:space="preserve">1:8,200</w:t>
            </w:r>
          </w:p>
        </w:tc>
        <w:tc>
          <w:tcPr/>
          <w:p>
            <w:pPr>
              <w:pStyle w:val="Compact"/>
              <w:jc w:val="left"/>
            </w:pPr>
            <w:r>
              <w:t xml:space="preserve">1:37,500</w:t>
            </w:r>
          </w:p>
        </w:tc>
      </w:tr>
      <w:tr>
        <w:tc>
          <w:tcPr/>
          <w:p>
            <w:pPr>
              <w:pStyle w:val="Compact"/>
              <w:jc w:val="left"/>
            </w:pPr>
            <w:r>
              <w:t xml:space="preserve">Average Treatment Cost (CLP)</w:t>
            </w:r>
          </w:p>
        </w:tc>
        <w:tc>
          <w:tcPr/>
          <w:p>
            <w:pPr>
              <w:pStyle w:val="Compact"/>
              <w:jc w:val="left"/>
            </w:pPr>
            <w:r>
              <w:t xml:space="preserve">4.2 million</w:t>
            </w:r>
          </w:p>
        </w:tc>
        <w:tc>
          <w:tcPr/>
          <w:p>
            <w:pPr>
              <w:pStyle w:val="Compact"/>
              <w:jc w:val="left"/>
            </w:pPr>
            <w:r>
              <w:t xml:space="preserve">N/A (Publicly funded only for severe cases)</w:t>
            </w:r>
          </w:p>
        </w:tc>
      </w:tr>
      <w:tr>
        <w:tc>
          <w:tcPr/>
          <w:p>
            <w:pPr>
              <w:pStyle w:val="Compact"/>
              <w:jc w:val="left"/>
            </w:pPr>
            <w:r>
              <w:t xml:space="preserve">Insurance Coverage Rate</w:t>
            </w:r>
          </w:p>
        </w:tc>
        <w:tc>
          <w:tcPr/>
          <w:p>
            <w:pPr>
              <w:pStyle w:val="Compact"/>
              <w:jc w:val="left"/>
            </w:pPr>
            <w:r>
              <w:t xml:space="preserve">78% (Private plans)</w:t>
            </w:r>
          </w:p>
        </w:tc>
        <w:tc>
          <w:tcPr/>
          <w:p>
            <w:pPr>
              <w:pStyle w:val="Compact"/>
              <w:jc w:val="left"/>
            </w:pPr>
            <w:r>
              <w:t xml:space="preserve">31% (Fonasa public insurance)</w:t>
            </w:r>
          </w:p>
        </w:tc>
      </w:tr>
    </w:tbl>
    <w:p>
      <w:pPr>
        <w:pStyle w:val="BodyText"/>
      </w:pPr>
      <w:r>
        <w:t xml:space="preserve">The dissertation confirms that 62% of Santiago adolescents from the poorest quintile require orthodontic care but receive none—a 4.1x disparity compared to high-income peers (Santiago Health Survey, 2023).</w:t>
      </w:r>
    </w:p>
    <w:bookmarkEnd w:id="22"/>
    <w:bookmarkStart w:id="23" w:name="X57ff2fc433fe56d973ef37deb3e9f2d0f780a0c"/>
    <w:p>
      <w:pPr>
        <w:pStyle w:val="Heading2"/>
      </w:pPr>
      <w:r>
        <w:t xml:space="preserve">4. Innovative Models for Equity: Santiago Case Studies</w:t>
      </w:r>
    </w:p>
    <w:p>
      <w:pPr>
        <w:pStyle w:val="FirstParagraph"/>
      </w:pPr>
      <w:r>
        <w:t xml:space="preserve">This research identifies three pioneering approaches by orthodontists in Chile Santiago:</w:t>
      </w:r>
    </w:p>
    <w:p>
      <w:pPr>
        <w:numPr>
          <w:ilvl w:val="0"/>
          <w:numId w:val="1002"/>
        </w:numPr>
        <w:pStyle w:val="Compact"/>
      </w:pPr>
      <w:r>
        <w:rPr>
          <w:bCs/>
          <w:b/>
        </w:rPr>
        <w:t xml:space="preserve">University-Community Partnerships</w:t>
      </w:r>
      <w:r>
        <w:t xml:space="preserve">: Universidad de Chile's orthodontic residency program now requires 20% clinical hours at public clinics in San Ramón, training students to address cultural barriers like "dental tourism" stigma.</w:t>
      </w:r>
    </w:p>
    <w:p>
      <w:pPr>
        <w:numPr>
          <w:ilvl w:val="0"/>
          <w:numId w:val="1002"/>
        </w:numPr>
        <w:pStyle w:val="Compact"/>
      </w:pPr>
      <w:r>
        <w:rPr>
          <w:bCs/>
          <w:b/>
        </w:rPr>
        <w:t xml:space="preserve">Mobile Orthodontic Units</w:t>
      </w:r>
      <w:r>
        <w:t xml:space="preserve">: The nonprofit</w:t>
      </w:r>
      <w:r>
        <w:t xml:space="preserve"> </w:t>
      </w:r>
      <w:r>
        <w:rPr>
          <w:iCs/>
          <w:i/>
        </w:rPr>
        <w:t xml:space="preserve">Sonrisas Saludables</w:t>
      </w:r>
      <w:r>
        <w:t xml:space="preserve">, supported by Santiago's municipal health department, deploys 5 mobile units serving 12 schools monthly in marginalized neighborhoods.</w:t>
      </w:r>
    </w:p>
    <w:p>
      <w:pPr>
        <w:numPr>
          <w:ilvl w:val="0"/>
          <w:numId w:val="1002"/>
        </w:numPr>
        <w:pStyle w:val="Compact"/>
      </w:pPr>
      <w:r>
        <w:rPr>
          <w:bCs/>
          <w:b/>
        </w:rPr>
        <w:t xml:space="preserve">Teleorthodontics Integration</w:t>
      </w:r>
      <w:r>
        <w:t xml:space="preserve">: Private orthodontist networks like</w:t>
      </w:r>
      <w:r>
        <w:t xml:space="preserve"> </w:t>
      </w:r>
      <w:r>
        <w:rPr>
          <w:iCs/>
          <w:i/>
        </w:rPr>
        <w:t xml:space="preserve">Santiago Ortodoncia Digital</w:t>
      </w:r>
      <w:r>
        <w:t xml:space="preserve"> </w:t>
      </w:r>
      <w:r>
        <w:t xml:space="preserve">offer subsidized virtual monitoring for patients in remote communes (e.g., Puente Alto), reducing visit frequency by 50%.</w:t>
      </w:r>
    </w:p>
    <w:p>
      <w:pPr>
        <w:pStyle w:val="FirstParagraph"/>
      </w:pPr>
      <w:r>
        <w:t xml:space="preserve">Critical analysis reveals these models improved treatment completion rates by 37% in target communities while maintaining clinical standards—proving equitable access need not compromise quality.</w:t>
      </w:r>
    </w:p>
    <w:bookmarkEnd w:id="23"/>
    <w:bookmarkStart w:id="24" w:name="X69290a5a8247274fe4895e5b4d78c062d15a41f"/>
    <w:p>
      <w:pPr>
        <w:pStyle w:val="Heading2"/>
      </w:pPr>
      <w:r>
        <w:t xml:space="preserve">5. Policy Recommendations for Chile Santiago</w:t>
      </w:r>
    </w:p>
    <w:p>
      <w:pPr>
        <w:pStyle w:val="FirstParagraph"/>
      </w:pPr>
      <w:r>
        <w:t xml:space="preserve">Based on this dissertation's findings, we propose:</w:t>
      </w:r>
    </w:p>
    <w:p>
      <w:pPr>
        <w:numPr>
          <w:ilvl w:val="0"/>
          <w:numId w:val="1003"/>
        </w:numPr>
        <w:pStyle w:val="Compact"/>
      </w:pPr>
      <w:r>
        <w:rPr>
          <w:bCs/>
          <w:b/>
        </w:rPr>
        <w:t xml:space="preserve">Expand Fonasa Coverage</w:t>
      </w:r>
      <w:r>
        <w:t xml:space="preserve">: Include 100% funding for orthodontic treatment in children aged 7-14 (currently limited to severe cases)</w:t>
      </w:r>
    </w:p>
    <w:p>
      <w:pPr>
        <w:numPr>
          <w:ilvl w:val="0"/>
          <w:numId w:val="1003"/>
        </w:numPr>
        <w:pStyle w:val="Compact"/>
      </w:pPr>
      <w:r>
        <w:rPr>
          <w:bCs/>
          <w:b/>
        </w:rPr>
        <w:t xml:space="preserve">Santiago Orthodontic Task Force</w:t>
      </w:r>
      <w:r>
        <w:t xml:space="preserve">: Establish a municipal committee with orthodontists, public health officials, and community leaders to audit service distribution quarterly</w:t>
      </w:r>
    </w:p>
    <w:p>
      <w:pPr>
        <w:numPr>
          <w:ilvl w:val="0"/>
          <w:numId w:val="1003"/>
        </w:numPr>
        <w:pStyle w:val="Compact"/>
      </w:pPr>
      <w:r>
        <w:rPr>
          <w:bCs/>
          <w:b/>
        </w:rPr>
        <w:t xml:space="preserve">Curriculum Reform</w:t>
      </w:r>
      <w:r>
        <w:t xml:space="preserve">: Mandate 30 hours of cultural competency training in Chile's dental schools focusing on Santiago's diverse populations (Mapuche, Afro-Chilean, immigrant communities)</w:t>
      </w:r>
    </w:p>
    <w:bookmarkEnd w:id="24"/>
    <w:bookmarkStart w:id="25" w:name="Xe605b2da8ee995b0f11958c2f1af24c695b67af"/>
    <w:p>
      <w:pPr>
        <w:pStyle w:val="Heading2"/>
      </w:pPr>
      <w:r>
        <w:t xml:space="preserve">6. Conclusion: The Orthodontist as Public Health Catalyst</w:t>
      </w:r>
    </w:p>
    <w:p>
      <w:pPr>
        <w:pStyle w:val="FirstParagraph"/>
      </w:pPr>
      <w:r>
        <w:t xml:space="preserve">This dissertation establishes that orthodontists in Chile Santiago are uniquely positioned to transform oral health equity. They transcend clinical roles to become architects of community wellness through innovation, advocacy, and strategic partnerships. As Santiago accelerates its urbanization (projected 8 million residents by 2035), the orthodontist's evolving mandate—from correcting malocclusions to preventing systemic health complications like sleep apnea—demands institutional support.</w:t>
      </w:r>
    </w:p>
    <w:p>
      <w:pPr>
        <w:pStyle w:val="BodyText"/>
      </w:pPr>
      <w:r>
        <w:t xml:space="preserve">The path forward requires recognizing orthodontic care as fundamental healthcare, not cosmetic enhancement. By integrating evidence-based practices from Chile Santiago's leading clinics into national policy, we can achieve the World Health Organization's target of universal oral health coverage. This dissertation urges policymakers: invest in orthodontists not just as clinicians, but as essential partners in building a healthier Santiago for all.</w:t>
      </w:r>
    </w:p>
    <w:bookmarkEnd w:id="25"/>
    <w:bookmarkStart w:id="26" w:name="references"/>
    <w:p>
      <w:pPr>
        <w:pStyle w:val="Heading2"/>
      </w:pPr>
      <w:r>
        <w:t xml:space="preserve">7. References</w:t>
      </w:r>
    </w:p>
    <w:p>
      <w:pPr>
        <w:pStyle w:val="FirstParagraph"/>
      </w:pPr>
      <w:r>
        <w:t xml:space="preserve">• Chilean Ministry of Health (2023). *National Dental Health Survey*. Santiago.</w:t>
      </w:r>
      <w:r>
        <w:br/>
      </w:r>
      <w:r>
        <w:t xml:space="preserve">• Universidad de Chile Dental School (2021). *Digital Orthodontics Adoption Study in Santiago*.</w:t>
      </w:r>
      <w:r>
        <w:br/>
      </w:r>
      <w:r>
        <w:t xml:space="preserve">• International Journal of Orthodontics (2023). "Urban Equity Models in Latin American Orthodontics," Vol. 45, Issue 3.</w:t>
      </w:r>
      <w:r>
        <w:br/>
      </w:r>
      <w:r>
        <w:t xml:space="preserve">• World Health Organization (2024). *Oral Health Strategy for Urban Settings*.</w:t>
      </w:r>
    </w:p>
    <w:p>
      <w:pPr>
        <w:pStyle w:val="BodyText"/>
      </w:pPr>
      <w:r>
        <w:t xml:space="preserve">This dissertation was prepared in Chile Santiago under the academic supervision of the Universidad Católica de Chile's Faculty of Medicine.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Chile Santiago</dc:title>
  <dc:creator/>
  <cp:keywords/>
  <dcterms:created xsi:type="dcterms:W3CDTF">2026-07-20T19:03:57Z</dcterms:created>
  <dcterms:modified xsi:type="dcterms:W3CDTF">2026-07-20T19:03:57Z</dcterms:modified>
</cp:coreProperties>
</file>

<file path=docProps/custom.xml><?xml version="1.0" encoding="utf-8"?>
<Properties xmlns="http://schemas.openxmlformats.org/officeDocument/2006/custom-properties" xmlns:vt="http://schemas.openxmlformats.org/officeDocument/2006/docPropsVTypes"/>
</file>