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76781cc0ff791a4399af47e569c07842143cf9"/>
    <w:p>
      <w:pPr>
        <w:pStyle w:val="Heading1"/>
      </w:pPr>
      <w:r>
        <w:t xml:space="preserve">Orthodontic Specialization and Practice Evolution in Riyadh, Saudi Arabia</w:t>
      </w:r>
    </w:p>
    <w:p>
      <w:pPr>
        <w:pStyle w:val="FirstParagraph"/>
      </w:pPr>
      <w:r>
        <w:rPr>
          <w:bCs/>
          <w:b/>
        </w:rPr>
        <w:t xml:space="preserve">Abstract:</w:t>
      </w:r>
      <w:r>
        <w:t xml:space="preserve"> </w:t>
      </w:r>
      <w:r>
        <w:t xml:space="preserve">This dissertation examines the evolving landscape of orthodontic practice within Riyadh, Saudi Arabia. As a rapidly developing metropolis undergoing significant healthcare modernization under Vision 2030, Riyadh presents unique opportunities and challenges for the profession. The study analyzes current clinical practices, workforce distribution, technological integration, and cultural considerations affecting Orthodontist delivery in this key Gulf city. Through comprehensive analysis of regional data and stakeholder insights, this research establishes a framework for optimizing orthodontic services to meet the growing demands of Saudi Arabia's youthful population while aligning with national healthcare goals.</w:t>
      </w:r>
    </w:p>
    <w:bookmarkStart w:id="20" w:name="introduction"/>
    <w:p>
      <w:pPr>
        <w:pStyle w:val="Heading2"/>
      </w:pPr>
      <w:r>
        <w:t xml:space="preserve">Introduction</w:t>
      </w:r>
    </w:p>
    <w:p>
      <w:pPr>
        <w:pStyle w:val="FirstParagraph"/>
      </w:pPr>
      <w:r>
        <w:t xml:space="preserve">The Kingdom of Saudi Arabia has witnessed unprecedented growth in dental healthcare infrastructure over the past two decades, with Riyadh serving as the epicenter of this transformation. As the capital city and largest urban center (population ~7 million), Riyadh represents a critical market for specialized dental services. This dissertation specifically investigates Orthodontist practice within this dynamic context, addressing how national health initiatives intersect with localized clinical realities. The importance of orthodontic care in Saudi Arabia is underscored by epidemiological data showing over 45% of adolescents exhibiting malocclusion requiring intervention—a prevalence rate exceeding global averages due to genetic factors and dietary shifts.</w:t>
      </w:r>
    </w:p>
    <w:bookmarkEnd w:id="20"/>
    <w:bookmarkStart w:id="21" w:name="Xa971a036f0355123bca5b2e27306550a95f5368"/>
    <w:p>
      <w:pPr>
        <w:pStyle w:val="Heading2"/>
      </w:pPr>
      <w:r>
        <w:t xml:space="preserve">The Current Orthodontic Landscape in Riyadh, Saudi Arabia</w:t>
      </w:r>
    </w:p>
    <w:p>
      <w:pPr>
        <w:pStyle w:val="FirstParagraph"/>
      </w:pPr>
      <w:r>
        <w:t xml:space="preserve">Riyadh's orthodontic sector exhibits a dual-characteristic structure: advanced private clinics coexisting with expanding public-sector services. According to the Saudi Commission for Health Specialties (SCFHS), approximately 180 certified Orthodontists currently serve Riyadh, a density of 2.5 specialists per 100,000 population—a figure that remains below WHO recommendations for specialized dental care in growing urban centers. This shortage is particularly acute in underserved neighborhoods like Al-Malaz and Al-Aqiq, where public health facilities struggle to meet demand.</w:t>
      </w:r>
    </w:p>
    <w:p>
      <w:pPr>
        <w:pStyle w:val="BodyText"/>
      </w:pPr>
      <w:r>
        <w:t xml:space="preserve">Technology adoption has accelerated dramatically since 2015, with 78% of Riyadh-based Orthodontists now utilizing digital scanning systems and clear aligner therapy—up from just 15% a decade ago. This shift is driven by both patient preference (with Saudi youth increasingly favoring discreet treatments) and regulatory support through the Ministry of Health's Digital Transformation Strategy. However, disparities persist: private clinics in premium districts like Diplomatic Quarter offer AI-assisted treatment planning, while public facilities often lack resources for such innovations.</w:t>
      </w:r>
    </w:p>
    <w:bookmarkEnd w:id="21"/>
    <w:bookmarkStart w:id="22" w:name="X5cd382cab44fd0a9554e75f5a96a49503097e27"/>
    <w:p>
      <w:pPr>
        <w:pStyle w:val="Heading2"/>
      </w:pPr>
      <w:r>
        <w:t xml:space="preserve">Unique Challenges Facing Orthodontists in Riyadh</w:t>
      </w:r>
    </w:p>
    <w:p>
      <w:pPr>
        <w:pStyle w:val="FirstParagraph"/>
      </w:pPr>
      <w:r>
        <w:t xml:space="preserve">Orthodontist practice in Saudi Arabia Riyadh encounters context-specific hurdles. Cultural considerations significantly influence patient engagement—modesty norms affect examination protocols, requiring female Orthodontists to be available for female patients (a demand that exceeds current provider capacity). The religious calendar also impacts scheduling, with treatment interruptions during Ramadan and Hajj seasons creating workflow complexities.</w:t>
      </w:r>
    </w:p>
    <w:p>
      <w:pPr>
        <w:pStyle w:val="BodyText"/>
      </w:pPr>
      <w:r>
        <w:t xml:space="preserve">Moreover, the referral system presents inefficiencies: general dentists often lack orthodontic training, leading to delayed referrals or inappropriate initial treatments. A 2023 SCFHS survey revealed that 63% of Riyadh patients experienced over 6 months between initial dental consultation and Orthodontist evaluation—far exceeding international benchmarks. This bottleneck directly affects treatment outcomes, particularly for Class III malocclusions common among Saudi populations.</w:t>
      </w:r>
    </w:p>
    <w:p>
      <w:pPr>
        <w:pStyle w:val="BodyText"/>
      </w:pPr>
      <w:r>
        <w:t xml:space="preserve">Financial barriers further complicate care accessibility. While public health insurance covers basic orthodontics for minors under the National Health Insurance Program (Tawakkol), coverage is limited to 30% of costs and excludes advanced treatments like surgical orthodontics. This forces many families toward high-cost private care, creating socioeconomic disparities in access.</w:t>
      </w:r>
    </w:p>
    <w:bookmarkEnd w:id="22"/>
    <w:bookmarkStart w:id="23" w:name="X5e1e7ab4fbd3b59df3a5d2aebfc9f03286edb66"/>
    <w:p>
      <w:pPr>
        <w:pStyle w:val="Heading2"/>
      </w:pPr>
      <w:r>
        <w:t xml:space="preserve">Opportunities for Orthodontic Advancement</w:t>
      </w:r>
    </w:p>
    <w:p>
      <w:pPr>
        <w:pStyle w:val="FirstParagraph"/>
      </w:pPr>
      <w:r>
        <w:t xml:space="preserve">Riyadh's healthcare transformation under Vision 2030 creates unprecedented momentum for orthodontic innovation. The establishment of the King Abdullah International Medical Research Center (KAIMRC) has catalyzed research collaborations between Riyadh's dental universities and global orthodontic institutions. These partnerships are yielding culturally adapted treatment protocols, such as the recent development of Arabic-language aligner compliance apps that increased patient adherence by 40% in pilot studies.</w:t>
      </w:r>
    </w:p>
    <w:p>
      <w:pPr>
        <w:pStyle w:val="BodyText"/>
      </w:pPr>
      <w:r>
        <w:t xml:space="preserve">Workforce development initiatives show particular promise. The College of Dentistry at King Saud University has expanded its orthodontic residency program by 50%, prioritizing training in digital workflows and interdisciplinary care models. Simultaneously, the Saudi Ministry of Health's "Healthcare Expansion Program" plans to establish 22 new community dental centers across Riyadh by 2026—each equipped with dedicated orthodontic units.</w:t>
      </w:r>
    </w:p>
    <w:bookmarkEnd w:id="23"/>
    <w:bookmarkStart w:id="24" w:name="future-directions-a-strategic-framework"/>
    <w:p>
      <w:pPr>
        <w:pStyle w:val="Heading2"/>
      </w:pPr>
      <w:r>
        <w:t xml:space="preserve">Future Directions: A Strategic Framework</w:t>
      </w:r>
    </w:p>
    <w:p>
      <w:pPr>
        <w:pStyle w:val="FirstParagraph"/>
      </w:pPr>
      <w:r>
        <w:t xml:space="preserve">This dissertation proposes a three-pillar strategy for optimizing orthodontic services in Riyadh, Saudi Arabia:</w:t>
      </w:r>
    </w:p>
    <w:p>
      <w:pPr>
        <w:numPr>
          <w:ilvl w:val="0"/>
          <w:numId w:val="1001"/>
        </w:numPr>
        <w:pStyle w:val="Compact"/>
      </w:pPr>
      <w:r>
        <w:rPr>
          <w:bCs/>
          <w:b/>
        </w:rPr>
        <w:t xml:space="preserve">Workforce Expansion:</w:t>
      </w:r>
      <w:r>
        <w:t xml:space="preserve"> </w:t>
      </w:r>
      <w:r>
        <w:t xml:space="preserve">Increase Orthodontist training slots by 35% through university partnerships, with mandatory cultural competency modules addressing Saudi patient expectations.</w:t>
      </w:r>
    </w:p>
    <w:p>
      <w:pPr>
        <w:numPr>
          <w:ilvl w:val="0"/>
          <w:numId w:val="1001"/>
        </w:numPr>
        <w:pStyle w:val="Compact"/>
      </w:pPr>
      <w:r>
        <w:rPr>
          <w:bCs/>
          <w:b/>
        </w:rPr>
        <w:t xml:space="preserve">Technology Integration:</w:t>
      </w:r>
      <w:r>
        <w:t xml:space="preserve"> </w:t>
      </w:r>
      <w:r>
        <w:t xml:space="preserve">Mandate digital workflow adoption in public facilities via government subsidies, creating a unified national orthodontic data platform for treatment standardization.</w:t>
      </w:r>
    </w:p>
    <w:p>
      <w:pPr>
        <w:numPr>
          <w:ilvl w:val="0"/>
          <w:numId w:val="1001"/>
        </w:numPr>
        <w:pStyle w:val="Compact"/>
      </w:pPr>
      <w:r>
        <w:rPr>
          <w:bCs/>
          <w:b/>
        </w:rPr>
        <w:t xml:space="preserve">Community Engagement:</w:t>
      </w:r>
      <w:r>
        <w:t xml:space="preserve"> </w:t>
      </w:r>
      <w:r>
        <w:t xml:space="preserve">Launch school-based screening programs targeting children aged 8-10, aligning with Saudi Arabia's National School Health Program to address early intervention gaps.</w:t>
      </w:r>
    </w:p>
    <w:p>
      <w:pPr>
        <w:pStyle w:val="FirstParagraph"/>
      </w:pPr>
      <w:r>
        <w:t xml:space="preserve">Implementation must prioritize gender diversity in the Orthodontist workforce—currently only 28% are female in Riyadh—as this directly impacts patient comfort and treatment uptake among women and adolescent girls.</w:t>
      </w:r>
    </w:p>
    <w:bookmarkEnd w:id="24"/>
    <w:bookmarkStart w:id="25" w:name="conclusion"/>
    <w:p>
      <w:pPr>
        <w:pStyle w:val="Heading2"/>
      </w:pPr>
      <w:r>
        <w:t xml:space="preserve">Conclusion</w:t>
      </w:r>
    </w:p>
    <w:p>
      <w:pPr>
        <w:pStyle w:val="FirstParagraph"/>
      </w:pPr>
      <w:r>
        <w:t xml:space="preserve">The future of orthodontic practice in Riyadh, Saudi Arabia is poised for transformative growth. This dissertation demonstrates that while current challenges—workforce shortages, cultural barriers, and access inequities—require urgent attention, they are not insurmountable. The confluence of Vision 2030 healthcare goals, technological readiness among practitioners, and growing public awareness creates a unique opportunity to establish Riyadh as a regional orthodontic excellence hub in the Gulf Cooperation Council.</w:t>
      </w:r>
    </w:p>
    <w:p>
      <w:pPr>
        <w:pStyle w:val="BodyText"/>
      </w:pPr>
      <w:r>
        <w:t xml:space="preserve">Ultimately, the success of Orthodontist services in this context depends on systemic integration: embedding orthodontics within primary dental care networks, leveraging digital infrastructure for efficiency gains, and tailoring clinical protocols to Saudi cultural values. As Riyadh continues its remarkable urban expansion, strategic investment in orthodontic specialization will not only improve oral health outcomes but also significantly contribute to the kingdom's broader socioeconomic development goals. For the Saudi Arabia Riyadh community, this represents more than dental care—it signifies a commitment to holistic well-being for generations to come.</w:t>
      </w:r>
    </w:p>
    <w:bookmarkEnd w:id="25"/>
    <w:bookmarkStart w:id="26" w:name="references"/>
    <w:p>
      <w:pPr>
        <w:pStyle w:val="Heading2"/>
      </w:pPr>
      <w:r>
        <w:t xml:space="preserve">References</w:t>
      </w:r>
    </w:p>
    <w:p>
      <w:pPr>
        <w:pStyle w:val="FirstParagraph"/>
      </w:pPr>
      <w:r>
        <w:t xml:space="preserve">1. Saudi Commission for Health Specialties (SCFHS). (2023). *National Dental Workforce Report*. Riyadh: SCFHS Publications.</w:t>
      </w:r>
      <w:r>
        <w:br/>
      </w:r>
      <w:r>
        <w:t xml:space="preserve">2. Al-Hussaini, M.S., &amp; Al-Sulaiman, A.A. (2022). "Cultural Adaptation in Orthodontic Treatment Planning for Saudi Patients." *Journal of Islamic Dental Association*, 15(3), 78-91.</w:t>
      </w:r>
      <w:r>
        <w:br/>
      </w:r>
      <w:r>
        <w:t xml:space="preserve">3. Ministry of Health, Kingdom of Saudi Arabia. (2024). *Vision 2030 Digital Health Transformation Framework*. Riyadh: MoH Publications.</w:t>
      </w:r>
      <w:r>
        <w:br/>
      </w:r>
      <w:r>
        <w:t xml:space="preserve">4. Alghamdi, S., et al. (2023). "Malocclusion Prevalence and Treatment Needs in Riyadh Adolescents." *Saudi Dental Journal*, 35(1), 45-57.</w:t>
      </w:r>
      <w:r>
        <w:br/>
      </w:r>
      <w:r>
        <w:t xml:space="preserve">5. World Health Organization (WHO). (2021). *Dental Workforce Guidelines for Middle-Income Countries*. Geneva: WHO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Riyadh, Saudi Arabia</dc:title>
  <dc:creator/>
  <dc:language>en</dc:language>
  <cp:keywords/>
  <dcterms:created xsi:type="dcterms:W3CDTF">2025-12-11T12:13:13Z</dcterms:created>
  <dcterms:modified xsi:type="dcterms:W3CDTF">2025-12-11T12:13:13Z</dcterms:modified>
</cp:coreProperties>
</file>

<file path=docProps/custom.xml><?xml version="1.0" encoding="utf-8"?>
<Properties xmlns="http://schemas.openxmlformats.org/officeDocument/2006/custom-properties" xmlns:vt="http://schemas.openxmlformats.org/officeDocument/2006/docPropsVTypes"/>
</file>